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DDD" w:rsidRPr="00624DDD" w:rsidRDefault="00C95142" w:rsidP="00624DDD">
      <w:pPr>
        <w:jc w:val="center"/>
        <w:rPr>
          <w:rFonts w:ascii="Times New Roman" w:eastAsia="Times New Roman" w:hAnsi="Times New Roman" w:cs="Times New Roman"/>
          <w:b/>
          <w:bCs/>
          <w:color w:val="333333"/>
          <w:spacing w:val="3"/>
          <w:kern w:val="36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pacing w:val="3"/>
          <w:kern w:val="36"/>
          <w:lang w:val="uk-UA" w:eastAsia="ru-RU"/>
        </w:rPr>
        <w:t>Обережно!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333333"/>
          <w:spacing w:val="3"/>
          <w:kern w:val="36"/>
          <w:lang w:val="uk-UA" w:eastAsia="ru-RU"/>
        </w:rPr>
        <w:t xml:space="preserve">  М</w:t>
      </w:r>
      <w:r w:rsidR="00624DDD" w:rsidRPr="00624DDD">
        <w:rPr>
          <w:rFonts w:ascii="Times New Roman" w:eastAsia="Times New Roman" w:hAnsi="Times New Roman" w:cs="Times New Roman"/>
          <w:b/>
          <w:bCs/>
          <w:color w:val="333333"/>
          <w:spacing w:val="3"/>
          <w:kern w:val="36"/>
          <w:lang w:val="uk-UA" w:eastAsia="ru-RU"/>
        </w:rPr>
        <w:t>іни!</w:t>
      </w:r>
    </w:p>
    <w:p w:rsidR="00624DDD" w:rsidRPr="00624DDD" w:rsidRDefault="00624DDD" w:rsidP="00624DDD">
      <w:pPr>
        <w:spacing w:after="150" w:line="360" w:lineRule="atLeast"/>
        <w:ind w:firstLine="708"/>
        <w:jc w:val="both"/>
        <w:rPr>
          <w:rFonts w:ascii="Times New Roman" w:eastAsia="Times New Roman" w:hAnsi="Times New Roman" w:cs="Times New Roman"/>
          <w:spacing w:val="2"/>
          <w:lang w:val="uk-UA" w:eastAsia="ru-RU"/>
        </w:rPr>
      </w:pPr>
      <w:r w:rsidRPr="00624DDD">
        <w:rPr>
          <w:rFonts w:ascii="Times New Roman" w:eastAsia="Times New Roman" w:hAnsi="Times New Roman" w:cs="Times New Roman"/>
          <w:noProof/>
          <w:spacing w:val="2"/>
          <w:lang w:eastAsia="ru-RU"/>
        </w:rPr>
        <w:drawing>
          <wp:anchor distT="0" distB="0" distL="114300" distR="114300" simplePos="0" relativeHeight="251658240" behindDoc="1" locked="0" layoutInCell="1" allowOverlap="1" wp14:anchorId="4861FC9C" wp14:editId="7224D15F">
            <wp:simplePos x="0" y="0"/>
            <wp:positionH relativeFrom="column">
              <wp:posOffset>4053840</wp:posOffset>
            </wp:positionH>
            <wp:positionV relativeFrom="paragraph">
              <wp:posOffset>220980</wp:posOffset>
            </wp:positionV>
            <wp:extent cx="2158365" cy="1974850"/>
            <wp:effectExtent l="0" t="0" r="0" b="6350"/>
            <wp:wrapTight wrapText="bothSides">
              <wp:wrapPolygon edited="0">
                <wp:start x="0" y="0"/>
                <wp:lineTo x="0" y="21461"/>
                <wp:lineTo x="21352" y="21461"/>
                <wp:lineTo x="21352" y="0"/>
                <wp:lineTo x="0" y="0"/>
              </wp:wrapPolygon>
            </wp:wrapTight>
            <wp:docPr id="3" name="Рисунок 3" descr="https://www.bsmu.edu.ua/wp-content/uploads/2022/04/image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smu.edu.ua/wp-content/uploads/2022/04/images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197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4DDD">
        <w:rPr>
          <w:rFonts w:ascii="Times New Roman" w:eastAsia="Times New Roman" w:hAnsi="Times New Roman" w:cs="Times New Roman"/>
          <w:spacing w:val="2"/>
          <w:lang w:val="uk-UA" w:eastAsia="ru-RU"/>
        </w:rPr>
        <w:t>На звільнених територіях велику небезпеку для їх мешканців становлять різноманітні вибухонебезпечні предмети. До таких предметів належать боєприпаси – вироби військової техніки одноразового вживання, призначені для ураження живої сили супротивника. До них  належать: бойові частки ракет; авіаційні бомби; артилерійські та інженерні боєприпаси, ручні гранати, а також стрілецькі боєприпаси (набої до пістолетів, карабінів, автоматів тощо). Особливу небезпеку становлять міни, які  встановлюються під землею, на землі чи по</w:t>
      </w:r>
      <w:r w:rsidR="002A33F4">
        <w:rPr>
          <w:rFonts w:ascii="Times New Roman" w:eastAsia="Times New Roman" w:hAnsi="Times New Roman" w:cs="Times New Roman"/>
          <w:spacing w:val="2"/>
          <w:lang w:val="uk-UA" w:eastAsia="ru-RU"/>
        </w:rPr>
        <w:t>близу землі або іншої поверхні та</w:t>
      </w:r>
      <w:r w:rsidRPr="00624DDD">
        <w:rPr>
          <w:rFonts w:ascii="Times New Roman" w:eastAsia="Times New Roman" w:hAnsi="Times New Roman" w:cs="Times New Roman"/>
          <w:spacing w:val="2"/>
          <w:lang w:val="uk-UA" w:eastAsia="ru-RU"/>
        </w:rPr>
        <w:t xml:space="preserve"> призначені для вибуху, спричиненого присутністю, близькістю чи контактом людини або транспортним засобом. До  них належать різні види мін: ПОМ-2 (осколкова протипіхотна міна кругової дії), ПФМ-1, ПФС-1С і ПМН-2 (фугасні протипіхотні міни натискної дії), ОЗМ-72 (осколкова протипіхотна мін</w:t>
      </w:r>
      <w:r w:rsidR="002A33F4">
        <w:rPr>
          <w:rFonts w:ascii="Times New Roman" w:eastAsia="Times New Roman" w:hAnsi="Times New Roman" w:cs="Times New Roman"/>
          <w:spacing w:val="2"/>
          <w:lang w:val="uk-UA" w:eastAsia="ru-RU"/>
        </w:rPr>
        <w:t>а кругового ураження), МОН-50 і</w:t>
      </w:r>
      <w:r w:rsidRPr="00624DDD">
        <w:rPr>
          <w:rFonts w:ascii="Times New Roman" w:eastAsia="Times New Roman" w:hAnsi="Times New Roman" w:cs="Times New Roman"/>
          <w:spacing w:val="2"/>
          <w:lang w:val="uk-UA" w:eastAsia="ru-RU"/>
        </w:rPr>
        <w:t xml:space="preserve"> МОН-200 (осколкові протипіхотні міни), ПМН-2 ТМ-62М (фугасна протитанкова міна). Радіус ураження деяких </w:t>
      </w:r>
      <w:r w:rsidR="002A33F4">
        <w:rPr>
          <w:rFonts w:ascii="Times New Roman" w:eastAsia="Times New Roman" w:hAnsi="Times New Roman" w:cs="Times New Roman"/>
          <w:spacing w:val="2"/>
          <w:lang w:val="uk-UA" w:eastAsia="ru-RU"/>
        </w:rPr>
        <w:t>і</w:t>
      </w:r>
      <w:r w:rsidRPr="00624DDD">
        <w:rPr>
          <w:rFonts w:ascii="Times New Roman" w:eastAsia="Times New Roman" w:hAnsi="Times New Roman" w:cs="Times New Roman"/>
          <w:spacing w:val="2"/>
          <w:lang w:val="uk-UA" w:eastAsia="ru-RU"/>
        </w:rPr>
        <w:t>з них – до 25 м і більше.</w:t>
      </w:r>
    </w:p>
    <w:p w:rsidR="00624DDD" w:rsidRDefault="00624DDD" w:rsidP="00624DDD">
      <w:pPr>
        <w:spacing w:after="150" w:line="360" w:lineRule="atLeast"/>
        <w:jc w:val="both"/>
        <w:rPr>
          <w:rFonts w:ascii="Times New Roman" w:eastAsia="Times New Roman" w:hAnsi="Times New Roman" w:cs="Times New Roman"/>
          <w:spacing w:val="2"/>
          <w:lang w:val="uk-UA" w:eastAsia="ru-RU"/>
        </w:rPr>
      </w:pPr>
      <w:r w:rsidRPr="00624DDD">
        <w:rPr>
          <w:rFonts w:ascii="Times New Roman" w:eastAsia="Times New Roman" w:hAnsi="Times New Roman" w:cs="Times New Roman"/>
          <w:noProof/>
          <w:spacing w:val="2"/>
          <w:lang w:eastAsia="ru-RU"/>
        </w:rPr>
        <w:drawing>
          <wp:anchor distT="0" distB="0" distL="114300" distR="114300" simplePos="0" relativeHeight="251659264" behindDoc="0" locked="0" layoutInCell="1" allowOverlap="1" wp14:anchorId="0AA0F583" wp14:editId="5BF76486">
            <wp:simplePos x="0" y="0"/>
            <wp:positionH relativeFrom="column">
              <wp:posOffset>-146050</wp:posOffset>
            </wp:positionH>
            <wp:positionV relativeFrom="paragraph">
              <wp:posOffset>78105</wp:posOffset>
            </wp:positionV>
            <wp:extent cx="2551430" cy="1828800"/>
            <wp:effectExtent l="0" t="0" r="1270" b="0"/>
            <wp:wrapSquare wrapText="bothSides"/>
            <wp:docPr id="2" name="Рисунок 2" descr="https://www.bsmu.edu.ua/wp-content/uploads/2022/04/1200px-protipihotna_mina_pmn-2-300x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bsmu.edu.ua/wp-content/uploads/2022/04/1200px-protipihotna_mina_pmn-2-300x13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43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4DDD">
        <w:rPr>
          <w:rFonts w:ascii="Times New Roman" w:eastAsia="Times New Roman" w:hAnsi="Times New Roman" w:cs="Times New Roman"/>
          <w:spacing w:val="2"/>
          <w:lang w:val="uk-UA" w:eastAsia="ru-RU"/>
        </w:rPr>
        <w:t xml:space="preserve">Окремі види протипіхотних мін належать до категорії сповільненої дії. Вони автоматично спрацьовують або приходять у бойове положення  після закінчення заданого часу. Інші – миттєвої дії, вибух яких пов’язаний </w:t>
      </w:r>
      <w:r w:rsidR="002A33F4">
        <w:rPr>
          <w:rFonts w:ascii="Times New Roman" w:eastAsia="Times New Roman" w:hAnsi="Times New Roman" w:cs="Times New Roman"/>
          <w:spacing w:val="2"/>
          <w:lang w:val="uk-UA" w:eastAsia="ru-RU"/>
        </w:rPr>
        <w:t>із дією рухомого об’єкта</w:t>
      </w:r>
      <w:r w:rsidRPr="00624DDD">
        <w:rPr>
          <w:rFonts w:ascii="Times New Roman" w:eastAsia="Times New Roman" w:hAnsi="Times New Roman" w:cs="Times New Roman"/>
          <w:spacing w:val="2"/>
          <w:lang w:val="uk-UA" w:eastAsia="ru-RU"/>
        </w:rPr>
        <w:t>. Не меншу загрозу становлять саморобні вибухові пристрої (саморобні міни-пастки та міни-сюрпризи), які імітують предмети домашнього побуту, дитячі іграшки або речі, що привертають увагу.</w:t>
      </w:r>
    </w:p>
    <w:p w:rsidR="00624DDD" w:rsidRPr="00624DDD" w:rsidRDefault="00624DDD" w:rsidP="00624DDD">
      <w:pPr>
        <w:spacing w:after="150" w:line="360" w:lineRule="atLeast"/>
        <w:jc w:val="both"/>
        <w:rPr>
          <w:rFonts w:ascii="Times New Roman" w:eastAsia="Times New Roman" w:hAnsi="Times New Roman" w:cs="Times New Roman"/>
          <w:spacing w:val="2"/>
          <w:lang w:val="uk-UA" w:eastAsia="ru-RU"/>
        </w:rPr>
      </w:pPr>
    </w:p>
    <w:p w:rsidR="00624DDD" w:rsidRPr="00624DDD" w:rsidRDefault="00624DDD" w:rsidP="00624DDD">
      <w:pPr>
        <w:spacing w:after="150" w:line="360" w:lineRule="atLeast"/>
        <w:jc w:val="both"/>
        <w:rPr>
          <w:rFonts w:ascii="Times New Roman" w:eastAsia="Times New Roman" w:hAnsi="Times New Roman" w:cs="Times New Roman"/>
          <w:spacing w:val="2"/>
          <w:lang w:val="uk-UA" w:eastAsia="ru-RU"/>
        </w:rPr>
      </w:pPr>
      <w:r w:rsidRPr="00624DDD">
        <w:rPr>
          <w:rFonts w:ascii="Times New Roman" w:eastAsia="Times New Roman" w:hAnsi="Times New Roman" w:cs="Times New Roman"/>
          <w:b/>
          <w:bCs/>
          <w:spacing w:val="2"/>
          <w:lang w:val="uk-UA" w:eastAsia="ru-RU"/>
        </w:rPr>
        <w:t>Про те, що знайдений предмет є вибухонебезпечним пристроєм (міною)</w:t>
      </w:r>
      <w:r w:rsidR="00C95142">
        <w:rPr>
          <w:rFonts w:ascii="Times New Roman" w:eastAsia="Times New Roman" w:hAnsi="Times New Roman" w:cs="Times New Roman"/>
          <w:b/>
          <w:bCs/>
          <w:spacing w:val="2"/>
          <w:lang w:val="uk-UA" w:eastAsia="ru-RU"/>
        </w:rPr>
        <w:t>,</w:t>
      </w:r>
      <w:r w:rsidRPr="00624DDD">
        <w:rPr>
          <w:rFonts w:ascii="Times New Roman" w:eastAsia="Times New Roman" w:hAnsi="Times New Roman" w:cs="Times New Roman"/>
          <w:b/>
          <w:bCs/>
          <w:spacing w:val="2"/>
          <w:lang w:val="uk-UA" w:eastAsia="ru-RU"/>
        </w:rPr>
        <w:t xml:space="preserve"> свідчить:</w:t>
      </w:r>
    </w:p>
    <w:p w:rsidR="00624DDD" w:rsidRPr="00624DDD" w:rsidRDefault="00624DDD" w:rsidP="00624DDD">
      <w:pPr>
        <w:numPr>
          <w:ilvl w:val="0"/>
          <w:numId w:val="2"/>
        </w:num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pacing w:val="2"/>
          <w:lang w:val="uk-UA" w:eastAsia="ru-RU"/>
        </w:rPr>
      </w:pPr>
      <w:r w:rsidRPr="00624DDD">
        <w:rPr>
          <w:rFonts w:ascii="Times New Roman" w:eastAsia="Times New Roman" w:hAnsi="Times New Roman" w:cs="Times New Roman"/>
          <w:spacing w:val="2"/>
          <w:lang w:val="uk-UA" w:eastAsia="ru-RU"/>
        </w:rPr>
        <w:t>характерний</w:t>
      </w:r>
      <w:r w:rsidR="00C95142">
        <w:rPr>
          <w:rFonts w:ascii="Times New Roman" w:eastAsia="Times New Roman" w:hAnsi="Times New Roman" w:cs="Times New Roman"/>
          <w:spacing w:val="2"/>
          <w:lang w:val="uk-UA" w:eastAsia="ru-RU"/>
        </w:rPr>
        <w:t xml:space="preserve"> зовнішній вигляд і</w:t>
      </w:r>
      <w:r w:rsidRPr="00624DDD">
        <w:rPr>
          <w:rFonts w:ascii="Times New Roman" w:eastAsia="Times New Roman" w:hAnsi="Times New Roman" w:cs="Times New Roman"/>
          <w:spacing w:val="2"/>
          <w:lang w:val="uk-UA" w:eastAsia="ru-RU"/>
        </w:rPr>
        <w:t xml:space="preserve"> місце його розташування;</w:t>
      </w:r>
    </w:p>
    <w:p w:rsidR="00624DDD" w:rsidRPr="00624DDD" w:rsidRDefault="00624DDD" w:rsidP="00624DDD">
      <w:pPr>
        <w:numPr>
          <w:ilvl w:val="0"/>
          <w:numId w:val="2"/>
        </w:num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pacing w:val="2"/>
          <w:lang w:val="uk-UA" w:eastAsia="ru-RU"/>
        </w:rPr>
      </w:pPr>
      <w:r w:rsidRPr="00624DDD">
        <w:rPr>
          <w:rFonts w:ascii="Times New Roman" w:eastAsia="Times New Roman" w:hAnsi="Times New Roman" w:cs="Times New Roman"/>
          <w:spacing w:val="2"/>
          <w:lang w:val="uk-UA" w:eastAsia="ru-RU"/>
        </w:rPr>
        <w:t>наявність антени або приєднаних до нього дротів;</w:t>
      </w:r>
    </w:p>
    <w:p w:rsidR="00624DDD" w:rsidRPr="00624DDD" w:rsidRDefault="00624DDD" w:rsidP="00624DDD">
      <w:pPr>
        <w:numPr>
          <w:ilvl w:val="0"/>
          <w:numId w:val="2"/>
        </w:num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pacing w:val="2"/>
          <w:lang w:val="uk-UA" w:eastAsia="ru-RU"/>
        </w:rPr>
      </w:pPr>
      <w:r w:rsidRPr="00624DDD">
        <w:rPr>
          <w:rFonts w:ascii="Times New Roman" w:eastAsia="Times New Roman" w:hAnsi="Times New Roman" w:cs="Times New Roman"/>
          <w:spacing w:val="2"/>
          <w:lang w:val="uk-UA" w:eastAsia="ru-RU"/>
        </w:rPr>
        <w:t>наявність розтяжки дротів або дротів, що тягнуться від механізму на велику відстань;</w:t>
      </w:r>
    </w:p>
    <w:p w:rsidR="00624DDD" w:rsidRPr="00624DDD" w:rsidRDefault="00624DDD" w:rsidP="00624DDD">
      <w:pPr>
        <w:numPr>
          <w:ilvl w:val="0"/>
          <w:numId w:val="2"/>
        </w:num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pacing w:val="2"/>
          <w:lang w:val="uk-UA" w:eastAsia="ru-RU"/>
        </w:rPr>
      </w:pPr>
      <w:r w:rsidRPr="00624DDD">
        <w:rPr>
          <w:rFonts w:ascii="Times New Roman" w:eastAsia="Times New Roman" w:hAnsi="Times New Roman" w:cs="Times New Roman"/>
          <w:spacing w:val="2"/>
          <w:lang w:val="uk-UA" w:eastAsia="ru-RU"/>
        </w:rPr>
        <w:t xml:space="preserve">наявність джерел живлення на механізмі або поряд </w:t>
      </w:r>
      <w:r w:rsidR="00C95142">
        <w:rPr>
          <w:rFonts w:ascii="Times New Roman" w:eastAsia="Times New Roman" w:hAnsi="Times New Roman" w:cs="Times New Roman"/>
          <w:spacing w:val="2"/>
          <w:lang w:val="uk-UA" w:eastAsia="ru-RU"/>
        </w:rPr>
        <w:t>і</w:t>
      </w:r>
      <w:r w:rsidRPr="00624DDD">
        <w:rPr>
          <w:rFonts w:ascii="Times New Roman" w:eastAsia="Times New Roman" w:hAnsi="Times New Roman" w:cs="Times New Roman"/>
          <w:spacing w:val="2"/>
          <w:lang w:val="uk-UA" w:eastAsia="ru-RU"/>
        </w:rPr>
        <w:t>з ним;</w:t>
      </w:r>
    </w:p>
    <w:p w:rsidR="00624DDD" w:rsidRPr="00624DDD" w:rsidRDefault="00624DDD" w:rsidP="00624DDD">
      <w:pPr>
        <w:numPr>
          <w:ilvl w:val="0"/>
          <w:numId w:val="2"/>
        </w:num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pacing w:val="2"/>
          <w:lang w:val="uk-UA" w:eastAsia="ru-RU"/>
        </w:rPr>
      </w:pPr>
      <w:r w:rsidRPr="00624DDD">
        <w:rPr>
          <w:rFonts w:ascii="Times New Roman" w:eastAsia="Times New Roman" w:hAnsi="Times New Roman" w:cs="Times New Roman"/>
          <w:b/>
          <w:bCs/>
          <w:noProof/>
          <w:spacing w:val="2"/>
          <w:lang w:eastAsia="ru-RU"/>
        </w:rPr>
        <w:drawing>
          <wp:anchor distT="0" distB="0" distL="114300" distR="114300" simplePos="0" relativeHeight="251660288" behindDoc="0" locked="0" layoutInCell="1" allowOverlap="1" wp14:anchorId="7B9F89A9" wp14:editId="32711381">
            <wp:simplePos x="0" y="0"/>
            <wp:positionH relativeFrom="column">
              <wp:posOffset>-145415</wp:posOffset>
            </wp:positionH>
            <wp:positionV relativeFrom="paragraph">
              <wp:posOffset>555625</wp:posOffset>
            </wp:positionV>
            <wp:extent cx="2381250" cy="1358265"/>
            <wp:effectExtent l="0" t="0" r="0" b="0"/>
            <wp:wrapSquare wrapText="bothSides"/>
            <wp:docPr id="1" name="Рисунок 1" descr="https://www.bsmu.edu.ua/wp-content/uploads/2022/04/630_360_1554292460-288-300x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bsmu.edu.ua/wp-content/uploads/2022/04/630_360_1554292460-288-300x17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35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4DDD">
        <w:rPr>
          <w:rFonts w:ascii="Times New Roman" w:eastAsia="Times New Roman" w:hAnsi="Times New Roman" w:cs="Times New Roman"/>
          <w:spacing w:val="2"/>
          <w:lang w:val="uk-UA" w:eastAsia="ru-RU"/>
        </w:rPr>
        <w:t xml:space="preserve">звуки, що лунають </w:t>
      </w:r>
      <w:r w:rsidR="00C95142">
        <w:rPr>
          <w:rFonts w:ascii="Times New Roman" w:eastAsia="Times New Roman" w:hAnsi="Times New Roman" w:cs="Times New Roman"/>
          <w:spacing w:val="2"/>
          <w:lang w:val="uk-UA" w:eastAsia="ru-RU"/>
        </w:rPr>
        <w:t>від предмета</w:t>
      </w:r>
      <w:r w:rsidRPr="00624DDD">
        <w:rPr>
          <w:rFonts w:ascii="Times New Roman" w:eastAsia="Times New Roman" w:hAnsi="Times New Roman" w:cs="Times New Roman"/>
          <w:spacing w:val="2"/>
          <w:lang w:val="uk-UA" w:eastAsia="ru-RU"/>
        </w:rPr>
        <w:t xml:space="preserve"> (цокання годинника) або блимання індикаторної лампочки.</w:t>
      </w:r>
    </w:p>
    <w:p w:rsidR="00624DDD" w:rsidRPr="00624DDD" w:rsidRDefault="00624DDD" w:rsidP="00624DDD">
      <w:pPr>
        <w:spacing w:after="150" w:line="360" w:lineRule="atLeast"/>
        <w:jc w:val="both"/>
        <w:rPr>
          <w:rFonts w:ascii="Times New Roman" w:eastAsia="Times New Roman" w:hAnsi="Times New Roman" w:cs="Times New Roman"/>
          <w:spacing w:val="2"/>
          <w:lang w:val="uk-UA" w:eastAsia="ru-RU"/>
        </w:rPr>
      </w:pPr>
      <w:r w:rsidRPr="00624DDD">
        <w:rPr>
          <w:rFonts w:ascii="Times New Roman" w:eastAsia="Times New Roman" w:hAnsi="Times New Roman" w:cs="Times New Roman"/>
          <w:b/>
          <w:bCs/>
          <w:spacing w:val="2"/>
          <w:lang w:val="uk-UA" w:eastAsia="ru-RU"/>
        </w:rPr>
        <w:t>У разі знаходження мін категорично забороняється:</w:t>
      </w:r>
    </w:p>
    <w:p w:rsidR="00624DDD" w:rsidRPr="00624DDD" w:rsidRDefault="00624DDD" w:rsidP="00624DDD">
      <w:pPr>
        <w:numPr>
          <w:ilvl w:val="0"/>
          <w:numId w:val="3"/>
        </w:num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pacing w:val="2"/>
          <w:lang w:val="uk-UA" w:eastAsia="ru-RU"/>
        </w:rPr>
      </w:pPr>
      <w:r w:rsidRPr="00624DDD">
        <w:rPr>
          <w:rFonts w:ascii="Times New Roman" w:eastAsia="Times New Roman" w:hAnsi="Times New Roman" w:cs="Times New Roman"/>
          <w:spacing w:val="2"/>
          <w:lang w:val="uk-UA" w:eastAsia="ru-RU"/>
        </w:rPr>
        <w:t>наближатися до предмета;</w:t>
      </w:r>
    </w:p>
    <w:p w:rsidR="00624DDD" w:rsidRPr="00624DDD" w:rsidRDefault="00624DDD" w:rsidP="00624DDD">
      <w:pPr>
        <w:numPr>
          <w:ilvl w:val="0"/>
          <w:numId w:val="3"/>
        </w:num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pacing w:val="2"/>
          <w:lang w:val="uk-UA" w:eastAsia="ru-RU"/>
        </w:rPr>
      </w:pPr>
      <w:r w:rsidRPr="00624DDD">
        <w:rPr>
          <w:rFonts w:ascii="Times New Roman" w:eastAsia="Times New Roman" w:hAnsi="Times New Roman" w:cs="Times New Roman"/>
          <w:spacing w:val="2"/>
          <w:lang w:val="uk-UA" w:eastAsia="ru-RU"/>
        </w:rPr>
        <w:t>пересувати або брати до рук;</w:t>
      </w:r>
    </w:p>
    <w:p w:rsidR="00624DDD" w:rsidRPr="00624DDD" w:rsidRDefault="00624DDD" w:rsidP="00624DDD">
      <w:pPr>
        <w:numPr>
          <w:ilvl w:val="0"/>
          <w:numId w:val="3"/>
        </w:num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pacing w:val="2"/>
          <w:lang w:val="uk-UA" w:eastAsia="ru-RU"/>
        </w:rPr>
      </w:pPr>
      <w:r w:rsidRPr="00624DDD">
        <w:rPr>
          <w:rFonts w:ascii="Times New Roman" w:eastAsia="Times New Roman" w:hAnsi="Times New Roman" w:cs="Times New Roman"/>
          <w:spacing w:val="2"/>
          <w:lang w:val="uk-UA" w:eastAsia="ru-RU"/>
        </w:rPr>
        <w:t>транспортувати з місця знаходження;</w:t>
      </w:r>
    </w:p>
    <w:p w:rsidR="00624DDD" w:rsidRPr="00624DDD" w:rsidRDefault="00C95142" w:rsidP="00624DDD">
      <w:pPr>
        <w:numPr>
          <w:ilvl w:val="0"/>
          <w:numId w:val="3"/>
        </w:num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pacing w:val="2"/>
          <w:lang w:val="uk-UA" w:eastAsia="ru-RU"/>
        </w:rPr>
      </w:pPr>
      <w:r>
        <w:rPr>
          <w:rFonts w:ascii="Times New Roman" w:eastAsia="Times New Roman" w:hAnsi="Times New Roman" w:cs="Times New Roman"/>
          <w:spacing w:val="2"/>
          <w:lang w:val="uk-UA" w:eastAsia="ru-RU"/>
        </w:rPr>
        <w:t>розряджати, кидати, у</w:t>
      </w:r>
      <w:r w:rsidR="00624DDD" w:rsidRPr="00624DDD">
        <w:rPr>
          <w:rFonts w:ascii="Times New Roman" w:eastAsia="Times New Roman" w:hAnsi="Times New Roman" w:cs="Times New Roman"/>
          <w:spacing w:val="2"/>
          <w:lang w:val="uk-UA" w:eastAsia="ru-RU"/>
        </w:rPr>
        <w:t>даряти по ній.</w:t>
      </w:r>
    </w:p>
    <w:p w:rsidR="00624DDD" w:rsidRPr="00624DDD" w:rsidRDefault="00624DDD" w:rsidP="00624DDD">
      <w:pPr>
        <w:spacing w:line="360" w:lineRule="atLeast"/>
        <w:rPr>
          <w:rFonts w:ascii="Times New Roman" w:eastAsia="Times New Roman" w:hAnsi="Times New Roman" w:cs="Times New Roman"/>
          <w:spacing w:val="2"/>
          <w:lang w:val="uk-UA" w:eastAsia="ru-RU"/>
        </w:rPr>
      </w:pPr>
      <w:r w:rsidRPr="00624DDD">
        <w:rPr>
          <w:rFonts w:ascii="Times New Roman" w:eastAsia="Times New Roman" w:hAnsi="Times New Roman" w:cs="Times New Roman"/>
          <w:spacing w:val="2"/>
          <w:lang w:val="uk-UA" w:eastAsia="ru-RU"/>
        </w:rPr>
        <w:t> </w:t>
      </w:r>
    </w:p>
    <w:p w:rsidR="00160F11" w:rsidRPr="00624DDD" w:rsidRDefault="00160F11">
      <w:pPr>
        <w:rPr>
          <w:rFonts w:ascii="Times New Roman" w:hAnsi="Times New Roman" w:cs="Times New Roman"/>
          <w:lang w:val="uk-UA"/>
        </w:rPr>
      </w:pPr>
    </w:p>
    <w:sectPr w:rsidR="00160F11" w:rsidRPr="00624DDD" w:rsidSect="00624DDD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55AD2"/>
    <w:multiLevelType w:val="multilevel"/>
    <w:tmpl w:val="D16CA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6714DC"/>
    <w:multiLevelType w:val="multilevel"/>
    <w:tmpl w:val="BEEAB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1A7680"/>
    <w:multiLevelType w:val="multilevel"/>
    <w:tmpl w:val="D152B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B6D"/>
    <w:rsid w:val="00160F11"/>
    <w:rsid w:val="002A33F4"/>
    <w:rsid w:val="00624DDD"/>
    <w:rsid w:val="00801B6D"/>
    <w:rsid w:val="00C9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BF9C7"/>
  <w15:docId w15:val="{349DF300-90E2-4007-AAB1-02E113565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4D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4D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lementor-icon-list-text">
    <w:name w:val="elementor-icon-list-text"/>
    <w:basedOn w:val="a0"/>
    <w:rsid w:val="00624DDD"/>
  </w:style>
  <w:style w:type="paragraph" w:styleId="a3">
    <w:name w:val="Normal (Web)"/>
    <w:basedOn w:val="a"/>
    <w:uiPriority w:val="99"/>
    <w:semiHidden/>
    <w:unhideWhenUsed/>
    <w:rsid w:val="0062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4DD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24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4D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2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213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40149">
              <w:marLeft w:val="0"/>
              <w:marRight w:val="0"/>
              <w:marTop w:val="15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8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1838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4338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3636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Sion84</dc:creator>
  <cp:keywords/>
  <dc:description/>
  <cp:lastModifiedBy>Starcity</cp:lastModifiedBy>
  <cp:revision>4</cp:revision>
  <dcterms:created xsi:type="dcterms:W3CDTF">2022-08-12T00:39:00Z</dcterms:created>
  <dcterms:modified xsi:type="dcterms:W3CDTF">2022-08-12T16:26:00Z</dcterms:modified>
</cp:coreProperties>
</file>