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ЗВІТ</w:t>
      </w:r>
    </w:p>
    <w:p w:rsidR="002F3A3D" w:rsidRDefault="008028DE">
      <w:pPr>
        <w:jc w:val="cente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 xml:space="preserve">за результатами опитування </w:t>
      </w:r>
      <w:proofErr w:type="spellStart"/>
      <w:r>
        <w:rPr>
          <w:rFonts w:ascii="Times New Roman" w:eastAsia="Times New Roman" w:hAnsi="Times New Roman" w:cs="Times New Roman"/>
          <w:b/>
          <w:bCs/>
          <w:color w:val="073763"/>
          <w:sz w:val="24"/>
          <w:szCs w:val="24"/>
        </w:rPr>
        <w:t>стейкхолдерів</w:t>
      </w:r>
      <w:proofErr w:type="spellEnd"/>
      <w:r>
        <w:rPr>
          <w:rFonts w:ascii="Times New Roman" w:eastAsia="Times New Roman" w:hAnsi="Times New Roman" w:cs="Times New Roman"/>
          <w:b/>
          <w:bCs/>
          <w:color w:val="073763"/>
          <w:sz w:val="24"/>
          <w:szCs w:val="24"/>
        </w:rPr>
        <w:t xml:space="preserve"> </w:t>
      </w:r>
    </w:p>
    <w:p w:rsidR="002F3A3D" w:rsidRDefault="008028DE">
      <w:pPr>
        <w:jc w:val="cente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щодо стану впровадження системи профорієнтації дітей та підлітків</w:t>
      </w:r>
    </w:p>
    <w:p w:rsidR="008028DE" w:rsidRDefault="008028DE" w:rsidP="008028DE">
      <w:pPr>
        <w:jc w:val="center"/>
        <w:rPr>
          <w:rFonts w:ascii="Times New Roman" w:eastAsia="Times New Roman" w:hAnsi="Times New Roman" w:cs="Times New Roman"/>
          <w:b/>
          <w:bCs/>
          <w:color w:val="073763"/>
          <w:sz w:val="24"/>
          <w:szCs w:val="24"/>
          <w:lang w:val="uk-UA"/>
        </w:rPr>
      </w:pPr>
      <w:r>
        <w:rPr>
          <w:rFonts w:ascii="Times New Roman" w:eastAsia="Times New Roman" w:hAnsi="Times New Roman" w:cs="Times New Roman"/>
          <w:b/>
          <w:bCs/>
          <w:color w:val="073763"/>
          <w:sz w:val="24"/>
          <w:szCs w:val="24"/>
        </w:rPr>
        <w:t xml:space="preserve">в </w:t>
      </w:r>
      <w:r>
        <w:rPr>
          <w:rFonts w:ascii="Times New Roman" w:eastAsia="Times New Roman" w:hAnsi="Times New Roman" w:cs="Times New Roman"/>
          <w:b/>
          <w:bCs/>
          <w:color w:val="073763"/>
          <w:sz w:val="24"/>
          <w:szCs w:val="24"/>
          <w:lang w:val="uk-UA"/>
        </w:rPr>
        <w:t xml:space="preserve">Донецькій селищній територіальній громаді </w:t>
      </w:r>
    </w:p>
    <w:p w:rsidR="002F3A3D" w:rsidRDefault="008028DE" w:rsidP="008028DE">
      <w:pPr>
        <w:jc w:val="cente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lang w:val="uk-UA"/>
        </w:rPr>
        <w:t>Ізюмського району Харківської області</w:t>
      </w: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Pr="008028DE" w:rsidRDefault="008028DE" w:rsidP="000F571E">
      <w:pPr>
        <w:jc w:val="both"/>
        <w:rPr>
          <w:rFonts w:ascii="Times New Roman" w:eastAsia="Times New Roman" w:hAnsi="Times New Roman" w:cs="Times New Roman"/>
          <w:sz w:val="24"/>
          <w:szCs w:val="24"/>
          <w:lang w:val="uk-UA"/>
        </w:rPr>
      </w:pPr>
      <w:r>
        <w:rPr>
          <w:rFonts w:ascii="Times New Roman" w:eastAsia="Times New Roman" w:hAnsi="Times New Roman" w:cs="Times New Roman"/>
          <w:b/>
          <w:bCs/>
          <w:color w:val="073763"/>
          <w:sz w:val="24"/>
          <w:szCs w:val="24"/>
        </w:rPr>
        <w:t>Кар’єрний координатор в ТГ: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lang w:val="uk-UA"/>
        </w:rPr>
        <w:t>Гайдай Мирослава Володимирівна, головний спеціаліст відділу освіти Донецької селищної ради Ізюмського району Харківської області</w:t>
      </w:r>
    </w:p>
    <w:p w:rsidR="002F3A3D" w:rsidRPr="008028DE" w:rsidRDefault="008028DE" w:rsidP="000F571E">
      <w:pPr>
        <w:jc w:val="both"/>
        <w:rPr>
          <w:rFonts w:ascii="Times New Roman" w:eastAsia="Times New Roman" w:hAnsi="Times New Roman" w:cs="Times New Roman"/>
          <w:sz w:val="24"/>
          <w:szCs w:val="24"/>
          <w:lang w:val="uk-UA"/>
        </w:rPr>
      </w:pPr>
      <w:r>
        <w:rPr>
          <w:rFonts w:ascii="Times New Roman" w:eastAsia="Times New Roman" w:hAnsi="Times New Roman" w:cs="Times New Roman"/>
          <w:b/>
          <w:bCs/>
          <w:color w:val="073763"/>
          <w:sz w:val="24"/>
          <w:szCs w:val="24"/>
        </w:rPr>
        <w:t>Ментор:</w:t>
      </w:r>
      <w:r>
        <w:rPr>
          <w:rFonts w:ascii="Times New Roman" w:eastAsia="Times New Roman" w:hAnsi="Times New Roman" w:cs="Times New Roman"/>
          <w:color w:val="073763"/>
          <w:sz w:val="24"/>
          <w:szCs w:val="24"/>
        </w:rPr>
        <w:t xml:space="preserve"> </w:t>
      </w:r>
      <w:proofErr w:type="spellStart"/>
      <w:r>
        <w:rPr>
          <w:rFonts w:ascii="Times New Roman" w:eastAsia="Times New Roman" w:hAnsi="Times New Roman" w:cs="Times New Roman"/>
          <w:sz w:val="24"/>
          <w:szCs w:val="24"/>
          <w:lang w:val="uk-UA"/>
        </w:rPr>
        <w:t>Собченко</w:t>
      </w:r>
      <w:proofErr w:type="spellEnd"/>
      <w:r>
        <w:rPr>
          <w:rFonts w:ascii="Times New Roman" w:eastAsia="Times New Roman" w:hAnsi="Times New Roman" w:cs="Times New Roman"/>
          <w:sz w:val="24"/>
          <w:szCs w:val="24"/>
          <w:lang w:val="uk-UA"/>
        </w:rPr>
        <w:t xml:space="preserve"> Тетяна</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 xml:space="preserve">доктор педагогічних наук, професор, професор кафедри освітології та інноваційної педагогіки </w:t>
      </w:r>
      <w:r w:rsidR="000F571E" w:rsidRPr="000F571E">
        <w:rPr>
          <w:rFonts w:ascii="Times New Roman" w:eastAsia="Times New Roman" w:hAnsi="Times New Roman" w:cs="Times New Roman"/>
          <w:sz w:val="24"/>
          <w:szCs w:val="24"/>
          <w:lang w:val="uk-UA"/>
        </w:rPr>
        <w:t>Харківськ</w:t>
      </w:r>
      <w:r w:rsidR="000F571E">
        <w:rPr>
          <w:rFonts w:ascii="Times New Roman" w:eastAsia="Times New Roman" w:hAnsi="Times New Roman" w:cs="Times New Roman"/>
          <w:sz w:val="24"/>
          <w:szCs w:val="24"/>
          <w:lang w:val="uk-UA"/>
        </w:rPr>
        <w:t xml:space="preserve">ого </w:t>
      </w:r>
      <w:r w:rsidR="000F571E" w:rsidRPr="000F571E">
        <w:rPr>
          <w:rFonts w:ascii="Times New Roman" w:eastAsia="Times New Roman" w:hAnsi="Times New Roman" w:cs="Times New Roman"/>
          <w:sz w:val="24"/>
          <w:szCs w:val="24"/>
          <w:lang w:val="uk-UA"/>
        </w:rPr>
        <w:t xml:space="preserve"> національн</w:t>
      </w:r>
      <w:r w:rsidR="000F571E">
        <w:rPr>
          <w:rFonts w:ascii="Times New Roman" w:eastAsia="Times New Roman" w:hAnsi="Times New Roman" w:cs="Times New Roman"/>
          <w:sz w:val="24"/>
          <w:szCs w:val="24"/>
          <w:lang w:val="uk-UA"/>
        </w:rPr>
        <w:t xml:space="preserve">ого </w:t>
      </w:r>
      <w:r w:rsidR="000F571E" w:rsidRPr="000F571E">
        <w:rPr>
          <w:rFonts w:ascii="Times New Roman" w:eastAsia="Times New Roman" w:hAnsi="Times New Roman" w:cs="Times New Roman"/>
          <w:sz w:val="24"/>
          <w:szCs w:val="24"/>
          <w:lang w:val="uk-UA"/>
        </w:rPr>
        <w:t xml:space="preserve"> педагогічн</w:t>
      </w:r>
      <w:r w:rsidR="000F571E">
        <w:rPr>
          <w:rFonts w:ascii="Times New Roman" w:eastAsia="Times New Roman" w:hAnsi="Times New Roman" w:cs="Times New Roman"/>
          <w:sz w:val="24"/>
          <w:szCs w:val="24"/>
          <w:lang w:val="uk-UA"/>
        </w:rPr>
        <w:t>ого</w:t>
      </w:r>
      <w:r w:rsidR="000F571E" w:rsidRPr="000F571E">
        <w:rPr>
          <w:rFonts w:ascii="Times New Roman" w:eastAsia="Times New Roman" w:hAnsi="Times New Roman" w:cs="Times New Roman"/>
          <w:sz w:val="24"/>
          <w:szCs w:val="24"/>
          <w:lang w:val="uk-UA"/>
        </w:rPr>
        <w:t xml:space="preserve"> університет</w:t>
      </w:r>
      <w:r w:rsidR="000F571E">
        <w:rPr>
          <w:rFonts w:ascii="Times New Roman" w:eastAsia="Times New Roman" w:hAnsi="Times New Roman" w:cs="Times New Roman"/>
          <w:sz w:val="24"/>
          <w:szCs w:val="24"/>
          <w:lang w:val="uk-UA"/>
        </w:rPr>
        <w:t xml:space="preserve">у </w:t>
      </w:r>
      <w:r w:rsidR="000F571E" w:rsidRPr="000F571E">
        <w:rPr>
          <w:rFonts w:ascii="Times New Roman" w:eastAsia="Times New Roman" w:hAnsi="Times New Roman" w:cs="Times New Roman"/>
          <w:sz w:val="24"/>
          <w:szCs w:val="24"/>
          <w:lang w:val="uk-UA"/>
        </w:rPr>
        <w:t xml:space="preserve"> імені Г.С. Сковороди</w:t>
      </w:r>
      <w:r w:rsidR="000F571E">
        <w:rPr>
          <w:rFonts w:ascii="Times New Roman" w:eastAsia="Times New Roman" w:hAnsi="Times New Roman" w:cs="Times New Roman"/>
          <w:sz w:val="24"/>
          <w:szCs w:val="24"/>
          <w:lang w:val="uk-UA"/>
        </w:rPr>
        <w:t>.</w:t>
      </w: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lang w:val="uk-UA"/>
        </w:rPr>
      </w:pPr>
    </w:p>
    <w:p w:rsidR="00F05764" w:rsidRPr="00F05764" w:rsidRDefault="00F05764">
      <w:pPr>
        <w:jc w:val="center"/>
        <w:rPr>
          <w:rFonts w:ascii="Times New Roman" w:eastAsia="Times New Roman" w:hAnsi="Times New Roman" w:cs="Times New Roman"/>
          <w:b/>
          <w:bCs/>
          <w:sz w:val="24"/>
          <w:szCs w:val="24"/>
          <w:lang w:val="uk-UA"/>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2025</w:t>
      </w:r>
    </w:p>
    <w:p w:rsidR="002F3A3D" w:rsidRDefault="008028DE">
      <w:pPr>
        <w:widowControl w:val="0"/>
        <w:jc w:val="cente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lastRenderedPageBreak/>
        <w:t>ЗМІСТ</w:t>
      </w:r>
    </w:p>
    <w:p w:rsidR="002F3A3D" w:rsidRDefault="002F3A3D">
      <w:pPr>
        <w:widowControl w:val="0"/>
        <w:jc w:val="center"/>
        <w:rPr>
          <w:rFonts w:ascii="Times New Roman" w:eastAsia="Times New Roman" w:hAnsi="Times New Roman" w:cs="Times New Roman"/>
          <w:b/>
          <w:bCs/>
          <w:sz w:val="24"/>
          <w:szCs w:val="24"/>
        </w:rPr>
      </w:pPr>
    </w:p>
    <w:tbl>
      <w:tblPr>
        <w:tblStyle w:val="a5"/>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55"/>
        <w:gridCol w:w="945"/>
      </w:tblGrid>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Мета та дизайн дослідження</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характеристика громади</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Соціально-демографічний портрет респондентів/</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xml:space="preserve"> </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1. Контекст профорієнтації</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2. Організація профорієнтації</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3. Інклюзія та гендерна рівність</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4. Співпраця з бізнесом</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5. Кадровий потенціал</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6. Ресурсне забезпечення</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Блок 7. Успішні практики</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2F3A3D">
        <w:tc>
          <w:tcPr>
            <w:tcW w:w="805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висновки та рекомендації</w:t>
            </w:r>
          </w:p>
        </w:tc>
        <w:tc>
          <w:tcPr>
            <w:tcW w:w="945" w:type="dxa"/>
            <w:tcBorders>
              <w:top w:val="nil"/>
              <w:left w:val="nil"/>
              <w:bottom w:val="nil"/>
              <w:right w:val="nil"/>
            </w:tcBorders>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2F3A3D" w:rsidRDefault="002F3A3D">
      <w:pPr>
        <w:widowControl w:val="0"/>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2F3A3D">
      <w:pPr>
        <w:jc w:val="center"/>
        <w:rPr>
          <w:rFonts w:ascii="Times New Roman" w:eastAsia="Times New Roman" w:hAnsi="Times New Roman" w:cs="Times New Roman"/>
          <w:b/>
          <w:bCs/>
          <w:sz w:val="24"/>
          <w:szCs w:val="24"/>
        </w:rPr>
      </w:pPr>
    </w:p>
    <w:p w:rsidR="002F3A3D" w:rsidRDefault="008028DE">
      <w:pPr>
        <w:pStyle w:val="a3"/>
        <w:widowControl w:val="0"/>
        <w:spacing w:after="0" w:line="240" w:lineRule="auto"/>
        <w:jc w:val="both"/>
        <w:rPr>
          <w:rFonts w:ascii="Times New Roman" w:eastAsia="Times New Roman" w:hAnsi="Times New Roman" w:cs="Times New Roman"/>
          <w:b/>
          <w:bCs/>
          <w:color w:val="1C4587"/>
          <w:sz w:val="24"/>
          <w:szCs w:val="24"/>
        </w:rPr>
      </w:pPr>
      <w:bookmarkStart w:id="0" w:name="_qwlorfksqn8c" w:colFirst="0" w:colLast="0"/>
      <w:bookmarkEnd w:id="0"/>
      <w:r>
        <w:rPr>
          <w:rFonts w:ascii="Times New Roman" w:eastAsia="Times New Roman" w:hAnsi="Times New Roman" w:cs="Times New Roman"/>
          <w:b/>
          <w:bCs/>
          <w:color w:val="1C4587"/>
          <w:sz w:val="24"/>
          <w:szCs w:val="24"/>
        </w:rPr>
        <w:lastRenderedPageBreak/>
        <w:t xml:space="preserve">МЕТА ТА ДИЗАЙН ДОСЛІДЖЕННЯ </w:t>
      </w:r>
    </w:p>
    <w:p w:rsidR="002F3A3D" w:rsidRDefault="002F3A3D">
      <w:pPr>
        <w:spacing w:line="240" w:lineRule="auto"/>
        <w:jc w:val="both"/>
        <w:rPr>
          <w:rFonts w:ascii="Times New Roman" w:eastAsia="Times New Roman" w:hAnsi="Times New Roman" w:cs="Times New Roman"/>
          <w:color w:val="1C4587"/>
          <w:sz w:val="24"/>
          <w:szCs w:val="24"/>
        </w:rPr>
      </w:pPr>
    </w:p>
    <w:p w:rsidR="002F3A3D" w:rsidRDefault="008028DE">
      <w:pPr>
        <w:spacing w:line="240" w:lineRule="auto"/>
        <w:jc w:val="both"/>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Мета опитування</w:t>
      </w:r>
    </w:p>
    <w:p w:rsidR="002F3A3D" w:rsidRDefault="00F05764">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 xml:space="preserve">Донецька селищна </w:t>
      </w:r>
      <w:r w:rsidR="008028DE">
        <w:rPr>
          <w:rFonts w:ascii="Times New Roman" w:eastAsia="Times New Roman" w:hAnsi="Times New Roman" w:cs="Times New Roman"/>
          <w:sz w:val="24"/>
          <w:szCs w:val="24"/>
        </w:rPr>
        <w:t>територіальна громада увійшла до переліку 396 громад з усіх областей України, які долучені до національного пілотування системи профорієнтації дітей і підлітків. Мета ініціативи — створити цілісну, стійку та доступну систему супроводу учнів у виборі майбутньої професії. Цей напрям є ключовим компонентом реформи «Нова українська школа», зокрема її третього етапу – розвитку старшої профільної школи.</w:t>
      </w: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Пілотування реалізується Швейцарсько-українським проєктом DECIDE у партнерстві з Міністерством освіти і науки України, обласними військовими адміністраціями, органами місцевого самоврядування, закладами освіти та роботодавцями.</w:t>
      </w: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Метою цього опитування є комплексне вивчення стану, умов та потреб у провадженні системи профорієнтаційної роботи в </w:t>
      </w:r>
      <w:r w:rsidR="00F05764">
        <w:rPr>
          <w:rFonts w:ascii="Times New Roman" w:eastAsia="Times New Roman" w:hAnsi="Times New Roman" w:cs="Times New Roman"/>
          <w:sz w:val="24"/>
          <w:szCs w:val="24"/>
          <w:lang w:val="uk-UA"/>
        </w:rPr>
        <w:t>Донецькій селищній</w:t>
      </w:r>
      <w:r>
        <w:rPr>
          <w:rFonts w:ascii="Times New Roman" w:eastAsia="Times New Roman" w:hAnsi="Times New Roman" w:cs="Times New Roman"/>
          <w:sz w:val="24"/>
          <w:szCs w:val="24"/>
        </w:rPr>
        <w:t xml:space="preserve"> територіальній громаді.</w:t>
      </w:r>
    </w:p>
    <w:p w:rsidR="002F3A3D" w:rsidRDefault="008028DE">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Дослідження спрямоване на:</w:t>
      </w:r>
    </w:p>
    <w:p w:rsidR="002F3A3D" w:rsidRDefault="008028DE">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виявлення наявних практик, моделей та підходів до організації профорієнтації;</w:t>
      </w:r>
    </w:p>
    <w:p w:rsidR="002F3A3D" w:rsidRDefault="008028DE">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оцінку рівня взаємодії між основними стейкхолдерами — місцевою владою, закладами освіти, бізнесом, батьками та молоддю;</w:t>
      </w:r>
    </w:p>
    <w:p w:rsidR="002F3A3D" w:rsidRDefault="008028DE">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бар’єрів, потреб і можливостей розвитку системи профорієнтації на місцевому рівні;</w:t>
      </w:r>
    </w:p>
    <w:p w:rsidR="002F3A3D" w:rsidRDefault="008028DE">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аналіз кадрового, ресурсного та організаційного потенціалу громади;</w:t>
      </w:r>
    </w:p>
    <w:p w:rsidR="002F3A3D" w:rsidRDefault="008028DE">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виявлення успішних практик та напрямів, що потребують удосконалення.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Період проведення та інструмент збору даних</w:t>
      </w: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Опитування проводилося протягом 2–8 грудня 2025 року у форматі онлайн-анкетування з використанням Google Forms. Воно було анонімним, що забезпечило конфіденційність респондентів і підвищило достовірність отриманих даних.</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 xml:space="preserve">Цільові групи  </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органів місцевого самоврядування (голова, заступники, депутати, керівник органу управління освітою).</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Керівники та педагогічні працівники закладів загальної середньої та позашкільної освіти.</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закладів загальної середньої освіти віком 10–18 років.</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Роботодавці (керівники місцевих державних, комунальних і приватних підприємств, установ та організацій).</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закладів загальної середньої освіти віком 10–18 років.</w:t>
      </w:r>
    </w:p>
    <w:p w:rsidR="002F3A3D" w:rsidRDefault="008028DE">
      <w:pPr>
        <w:numPr>
          <w:ilvl w:val="0"/>
          <w:numId w:val="1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(студенти закладів професійної, фахової передвищої та вищої освіти віком 14–22 років).</w:t>
      </w:r>
    </w:p>
    <w:p w:rsidR="002F3A3D" w:rsidRDefault="002F3A3D">
      <w:pPr>
        <w:spacing w:line="240" w:lineRule="auto"/>
        <w:ind w:firstLine="720"/>
        <w:jc w:val="both"/>
        <w:rPr>
          <w:rFonts w:ascii="Times New Roman" w:eastAsia="Times New Roman" w:hAnsi="Times New Roman" w:cs="Times New Roman"/>
          <w:sz w:val="24"/>
          <w:szCs w:val="24"/>
        </w:rPr>
      </w:pP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Опитування різних цільових аудиторій дає змогу отримати всебічне бачення стану профорієнтаційної роботи в громаді, зіставити потреби та очікування всіх </w:t>
      </w:r>
      <w:proofErr w:type="spellStart"/>
      <w:r>
        <w:rPr>
          <w:rFonts w:ascii="Times New Roman" w:eastAsia="Times New Roman" w:hAnsi="Times New Roman" w:cs="Times New Roman"/>
          <w:sz w:val="24"/>
          <w:szCs w:val="24"/>
        </w:rPr>
        <w:t>стейкхолдерів</w:t>
      </w:r>
      <w:proofErr w:type="spellEnd"/>
      <w:r>
        <w:rPr>
          <w:rFonts w:ascii="Times New Roman" w:eastAsia="Times New Roman" w:hAnsi="Times New Roman" w:cs="Times New Roman"/>
          <w:sz w:val="24"/>
          <w:szCs w:val="24"/>
        </w:rPr>
        <w:t xml:space="preserve"> і сформувати цілісні, обґрунтовані рішення для її подальшого розвитку.</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органів місцевого самоврядування – визначають політику, ресурси та управлінські рішення, що формують систему профорієнтації на рівні громади.</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Керівники та педагогічні працівники закладів освіти – безпосередньо організовують і реалізують профорієнтаційну роботу з учнями.</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Батьки учнів 10–18 років – відіграють ключову роль у підтримці професійного вибору дитини та формуванні її освітніх траєкторій.</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 – формують запит на компетентності, відкривають можливості для практичних профорієнтаційних заходів і демонструють реальні потреби місцевого ринку праці.</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10–18 років – основні учасники профорієнтаційного процесу, чиї потреби та інтереси мають бути центральними у плануванні системи профорієнтації.</w:t>
      </w:r>
    </w:p>
    <w:p w:rsidR="002F3A3D" w:rsidRDefault="008028DE">
      <w:pPr>
        <w:numPr>
          <w:ilvl w:val="0"/>
          <w:numId w:val="1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 на власному досвіді оцінюють, наскільки шкільна профорієнтація допомогла їм у виборі подальшої освітньої траєкторії та професійного шляху.</w:t>
      </w:r>
    </w:p>
    <w:p w:rsidR="002F3A3D" w:rsidRDefault="002F3A3D">
      <w:pPr>
        <w:spacing w:line="240" w:lineRule="auto"/>
        <w:jc w:val="both"/>
        <w:rPr>
          <w:rFonts w:ascii="Times New Roman" w:eastAsia="Times New Roman" w:hAnsi="Times New Roman" w:cs="Times New Roman"/>
          <w:sz w:val="24"/>
          <w:szCs w:val="24"/>
        </w:rPr>
      </w:pPr>
    </w:p>
    <w:p w:rsidR="002F3A3D" w:rsidRDefault="008028DE">
      <w:pPr>
        <w:spacing w:line="240" w:lineRule="auto"/>
        <w:jc w:val="both"/>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073763"/>
          <w:sz w:val="24"/>
          <w:szCs w:val="24"/>
        </w:rPr>
        <w:t xml:space="preserve">Структура опитувальника </w:t>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1. Контекст профорієнтації:</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впливу на професійне самовизначення;</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поінформованості дітей та підлітків про професії;</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пріоритети при виборі професії;</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фактори, які впливають на вибір професії;</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зв’язок профорієнтації з реформою старшої профільної школи;</w:t>
      </w:r>
      <w:r>
        <w:rPr>
          <w:rFonts w:ascii="Times New Roman" w:eastAsia="Times New Roman" w:hAnsi="Times New Roman" w:cs="Times New Roman"/>
          <w:sz w:val="24"/>
          <w:szCs w:val="24"/>
        </w:rPr>
        <w:tab/>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профорієнтації на вибір  освітньої траєкторії;</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роль профорієнтації у збереженні молоді в громаді;</w:t>
      </w:r>
    </w:p>
    <w:p w:rsidR="002F3A3D" w:rsidRDefault="008028DE">
      <w:pPr>
        <w:numPr>
          <w:ilvl w:val="0"/>
          <w:numId w:val="1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професійне самоусвідомлення.</w:t>
      </w:r>
      <w:r>
        <w:rPr>
          <w:rFonts w:ascii="Times New Roman" w:eastAsia="Times New Roman" w:hAnsi="Times New Roman" w:cs="Times New Roman"/>
          <w:sz w:val="24"/>
          <w:szCs w:val="24"/>
        </w:rPr>
        <w:tab/>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2. Організація профорієнтації:</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пріоритетність профорієнтації;</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стратегічних документів / планування;</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інформаційні профорієнтаційні заходи / участь;</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діагностичні профорієнтаційні заходи  / участь;</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практичні профорієнтаційні заходи  / участь;</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ефективність профорієнтаційної роботи в  територіальній громаді;</w:t>
      </w:r>
    </w:p>
    <w:p w:rsidR="002F3A3D" w:rsidRDefault="008028DE">
      <w:pPr>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ефективність профорієнтаційної роботи в закладах освіти громади.</w:t>
      </w:r>
      <w:r>
        <w:rPr>
          <w:rFonts w:ascii="Times New Roman" w:eastAsia="Times New Roman" w:hAnsi="Times New Roman" w:cs="Times New Roman"/>
          <w:sz w:val="24"/>
          <w:szCs w:val="24"/>
        </w:rPr>
        <w:tab/>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3. Інклюзія та гендерна рівність:</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врахування потреб різних категорій дітей;</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гендерна рівність у профорієнтації</w:t>
      </w:r>
      <w:r>
        <w:rPr>
          <w:rFonts w:ascii="Times New Roman" w:eastAsia="Times New Roman" w:hAnsi="Times New Roman" w:cs="Times New Roman"/>
          <w:sz w:val="24"/>
          <w:szCs w:val="24"/>
        </w:rPr>
        <w:tab/>
        <w:t>;</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основні бар’єри рівноправної участі;</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відкритість місцевих роботодавців до інклюзивних практик;</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можливості місцевих роботодавців щодо підтримки участі учнів з ООП в профорієнтаційних заходах;</w:t>
      </w:r>
    </w:p>
    <w:p w:rsidR="002F3A3D" w:rsidRDefault="008028DE">
      <w:pPr>
        <w:numPr>
          <w:ilvl w:val="0"/>
          <w:numId w:val="15"/>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інфраструктурна готовність до інклюзивних заходів.</w:t>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4. Співпраця з місцевими роботодавцями:</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рівень налагодженості співпраці;</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бар’єри співпраці;</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важливість співпраці</w:t>
      </w:r>
      <w:r>
        <w:rPr>
          <w:rFonts w:ascii="Times New Roman" w:eastAsia="Times New Roman" w:hAnsi="Times New Roman" w:cs="Times New Roman"/>
          <w:sz w:val="24"/>
          <w:szCs w:val="24"/>
        </w:rPr>
        <w:tab/>
        <w:t>;</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ефективні формати співпраці;</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частота профорієнтаційних заходів</w:t>
      </w:r>
      <w:r>
        <w:rPr>
          <w:rFonts w:ascii="Times New Roman" w:eastAsia="Times New Roman" w:hAnsi="Times New Roman" w:cs="Times New Roman"/>
          <w:sz w:val="24"/>
          <w:szCs w:val="24"/>
        </w:rPr>
        <w:tab/>
        <w:t>;</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вплив співпраці на професійний вибір;</w:t>
      </w:r>
    </w:p>
    <w:p w:rsidR="002F3A3D" w:rsidRDefault="008028DE">
      <w:pPr>
        <w:numPr>
          <w:ilvl w:val="0"/>
          <w:numId w:val="2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інтерес до напрямів профорієнтаційних активностей.</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5. Кадровий потенціал:</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кадрова спроможність;</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компетентність у профорієнтації;</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потреба в навчанні;</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доцільність кар’єрного радника в закладах загальної середньої освіти;</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доцільність кар’єрного координатора в територіальній громаді;</w:t>
      </w:r>
    </w:p>
    <w:p w:rsidR="002F3A3D" w:rsidRDefault="008028DE">
      <w:pPr>
        <w:numPr>
          <w:ilvl w:val="0"/>
          <w:numId w:val="2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кадрові бар’єри.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6. Ресурсне забезпечення:</w:t>
      </w:r>
    </w:p>
    <w:p w:rsidR="002F3A3D" w:rsidRDefault="008028DE">
      <w:pPr>
        <w:numPr>
          <w:ilvl w:val="0"/>
          <w:numId w:val="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наявність ресурсів;</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потреби в ресурсах;</w:t>
      </w:r>
    </w:p>
    <w:p w:rsidR="002F3A3D" w:rsidRDefault="008028DE">
      <w:pPr>
        <w:numPr>
          <w:ilvl w:val="0"/>
          <w:numId w:val="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фінансове забезпечення;</w:t>
      </w:r>
    </w:p>
    <w:p w:rsidR="002F3A3D" w:rsidRDefault="008028DE">
      <w:pPr>
        <w:numPr>
          <w:ilvl w:val="0"/>
          <w:numId w:val="1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джерела і практики залучення ресурсів.</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13"/>
        </w:num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Блок 7. Успішні практики:</w:t>
      </w:r>
    </w:p>
    <w:p w:rsidR="002F3A3D" w:rsidRDefault="008028DE">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обізнаність про успішні практики профорієнтаційної роботи з дітьми та підлітками;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наявність у громаді успішних практик профорієнтаційної роботи з дітьми та підлітками; </w:t>
      </w:r>
    </w:p>
    <w:p w:rsidR="002F3A3D" w:rsidRDefault="008028DE">
      <w:pPr>
        <w:numPr>
          <w:ilvl w:val="0"/>
          <w:numId w:val="8"/>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приклади успішних профорієнтаційних практик.</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2F3A3D">
      <w:pPr>
        <w:spacing w:line="240" w:lineRule="auto"/>
        <w:ind w:firstLine="720"/>
        <w:jc w:val="both"/>
        <w:rPr>
          <w:rFonts w:ascii="Times New Roman" w:eastAsia="Times New Roman" w:hAnsi="Times New Roman" w:cs="Times New Roman"/>
          <w:sz w:val="24"/>
          <w:szCs w:val="24"/>
        </w:rPr>
      </w:pP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Більшість питань і варіантів відповідей в анкетах синхронізовані для всіх цільових аудиторій, що дає змогу порівнювати їхні позиції між собою та формувати узгоджені, обґрунтовані висновки. Водночас формулювання окремих питань адаптовані з урахуванням специфіки кожної групи.</w:t>
      </w:r>
    </w:p>
    <w:p w:rsidR="002F3A3D" w:rsidRDefault="002F3A3D">
      <w:pPr>
        <w:spacing w:line="240" w:lineRule="auto"/>
        <w:ind w:firstLine="720"/>
        <w:jc w:val="both"/>
        <w:rPr>
          <w:rFonts w:ascii="Times New Roman" w:eastAsia="Times New Roman" w:hAnsi="Times New Roman" w:cs="Times New Roman"/>
          <w:sz w:val="24"/>
          <w:szCs w:val="24"/>
        </w:rPr>
      </w:pP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будуть використані для подальшого планування впровадження / розвитку системи профорієнта</w:t>
      </w:r>
      <w:r w:rsidR="00F05764">
        <w:rPr>
          <w:rFonts w:ascii="Times New Roman" w:eastAsia="Times New Roman" w:hAnsi="Times New Roman" w:cs="Times New Roman"/>
          <w:sz w:val="24"/>
          <w:szCs w:val="24"/>
        </w:rPr>
        <w:t xml:space="preserve">ції дітей і підлітків у </w:t>
      </w:r>
      <w:r w:rsidR="00F05764">
        <w:rPr>
          <w:rFonts w:ascii="Times New Roman" w:eastAsia="Times New Roman" w:hAnsi="Times New Roman" w:cs="Times New Roman"/>
          <w:sz w:val="24"/>
          <w:szCs w:val="24"/>
          <w:lang w:val="uk-UA"/>
        </w:rPr>
        <w:t>Донецькій селищній територіальній</w:t>
      </w:r>
      <w:r>
        <w:rPr>
          <w:rFonts w:ascii="Times New Roman" w:eastAsia="Times New Roman" w:hAnsi="Times New Roman" w:cs="Times New Roman"/>
          <w:sz w:val="24"/>
          <w:szCs w:val="24"/>
        </w:rPr>
        <w:t xml:space="preserve"> громаді.</w:t>
      </w:r>
    </w:p>
    <w:p w:rsidR="002F3A3D" w:rsidRDefault="002F3A3D">
      <w:pPr>
        <w:spacing w:line="240" w:lineRule="auto"/>
        <w:ind w:firstLine="720"/>
        <w:jc w:val="both"/>
        <w:rPr>
          <w:rFonts w:ascii="Times New Roman" w:eastAsia="Times New Roman" w:hAnsi="Times New Roman" w:cs="Times New Roman"/>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2F3A3D">
      <w:pPr>
        <w:rPr>
          <w:rFonts w:ascii="Times New Roman" w:eastAsia="Times New Roman" w:hAnsi="Times New Roman" w:cs="Times New Roman"/>
          <w:b/>
          <w:bCs/>
          <w:sz w:val="24"/>
          <w:szCs w:val="24"/>
        </w:rPr>
      </w:pPr>
    </w:p>
    <w:p w:rsidR="002F3A3D" w:rsidRDefault="008028DE">
      <w:pPr>
        <w:pStyle w:val="a3"/>
        <w:widowControl w:val="0"/>
        <w:spacing w:after="0" w:line="240" w:lineRule="auto"/>
        <w:jc w:val="both"/>
        <w:rPr>
          <w:rFonts w:ascii="Times New Roman" w:eastAsia="Times New Roman" w:hAnsi="Times New Roman" w:cs="Times New Roman"/>
          <w:b/>
          <w:bCs/>
          <w:color w:val="1C4587"/>
          <w:sz w:val="24"/>
          <w:szCs w:val="24"/>
        </w:rPr>
      </w:pPr>
      <w:bookmarkStart w:id="1" w:name="_w808poacbsb6" w:colFirst="0" w:colLast="0"/>
      <w:bookmarkEnd w:id="1"/>
      <w:r>
        <w:rPr>
          <w:rFonts w:ascii="Times New Roman" w:eastAsia="Times New Roman" w:hAnsi="Times New Roman" w:cs="Times New Roman"/>
          <w:b/>
          <w:bCs/>
          <w:color w:val="1C4587"/>
          <w:sz w:val="24"/>
          <w:szCs w:val="24"/>
        </w:rPr>
        <w:lastRenderedPageBreak/>
        <w:t>ЗАГАЛЬНА ХАРАКТЕРИСТИКА ТЕРИТОРІАЛЬНОЇ ГРОМАДИ</w:t>
      </w:r>
      <w:r>
        <w:rPr>
          <w:rFonts w:ascii="Times New Roman" w:eastAsia="Times New Roman" w:hAnsi="Times New Roman" w:cs="Times New Roman"/>
          <w:b/>
          <w:bCs/>
          <w:color w:val="1C4587"/>
          <w:sz w:val="24"/>
          <w:szCs w:val="24"/>
          <w:vertAlign w:val="superscript"/>
        </w:rPr>
        <w:footnoteReference w:id="1"/>
      </w:r>
    </w:p>
    <w:p w:rsidR="002F3A3D" w:rsidRDefault="002F3A3D"/>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Донецька селищна територіальна громада Ізюмського району Харківської області сформована в ході реформи децентралізації: рішення про її утворення датоване 12 червня 2020 року, а вже після адміністративно-територіальних змін у липні 2020 року громада увійшла до складу новоутвореного Ізюмського району. </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Вона об’єднує 14 населених пунктів, а територіально-управлінська мережа вибудувана через 4 старостинські округи. Адміністративний центр — селище Донець, де функціонує орган місцевого самоврядування — Донецька селищна рада. </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За даними профілю громади в екосистемі DREAM, станом на 01.08.2025 на її території було зареєстровано 20 698 мешканців та 2 624 внутрішньо переміщені особи. </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Площа громади становить 345,39 км², і в структурі земель переважають угіддя сільськогосподарського призначення. </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Водночас природна привабливість краю пов’язана з ландшафтами долини Сіверського Дінця, що формують рекреаційний потенціал території та підтримують активні види відпочинку, зокрема водний туризм.</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Економічний профіль громади має аграрно-промислову спеціалізацію. У промисловому сегменті помітну роль відіграють напрями, пов’язані з видобуванням природного газу та процесами перероблення вуглеводневої сировини: у громаді представлена діяльність підрозділів АТ «Укргазвидобування», зокрема філії ГПУ «Шебелинкагазвидобування», юридична адреса якої зареєстрована в селищі Донець. </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Це формує вагому частку робочих місць та податкового ресурсу, а також підтримує суміжні сфери економіки.</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Аграрний сектор зорієнтований на вирощування зернових (озима пшениця, ячмінь, кукурудза, просо), бобових і насіння олійних культур (соняшник), функціонують сільськогосподарські підприємства та фермерські господарства; традиційно розвивається бджільництво. Логістична доступність громади посилюється наявністю залізничного сполучення, що сприяє мобільності населення та перевезенню вантажів.</w:t>
      </w:r>
    </w:p>
    <w:p w:rsidR="001D5429" w:rsidRPr="001D5429" w:rsidRDefault="001D5429" w:rsidP="001D5429">
      <w:pPr>
        <w:spacing w:line="240" w:lineRule="auto"/>
        <w:ind w:firstLine="567"/>
        <w:jc w:val="both"/>
        <w:rPr>
          <w:rFonts w:ascii="Times New Roman" w:eastAsia="Times New Roman" w:hAnsi="Times New Roman" w:cs="Times New Roman"/>
          <w:bCs/>
          <w:sz w:val="24"/>
          <w:szCs w:val="24"/>
        </w:rPr>
      </w:pPr>
      <w:r w:rsidRPr="001D5429">
        <w:rPr>
          <w:rFonts w:ascii="Times New Roman" w:eastAsia="Times New Roman" w:hAnsi="Times New Roman" w:cs="Times New Roman"/>
          <w:bCs/>
          <w:sz w:val="24"/>
          <w:szCs w:val="24"/>
        </w:rPr>
        <w:t xml:space="preserve">Інституційна сталість громади в умовах повномасштабної війни формувалася під постійними </w:t>
      </w:r>
      <w:proofErr w:type="spellStart"/>
      <w:r w:rsidRPr="001D5429">
        <w:rPr>
          <w:rFonts w:ascii="Times New Roman" w:eastAsia="Times New Roman" w:hAnsi="Times New Roman" w:cs="Times New Roman"/>
          <w:bCs/>
          <w:sz w:val="24"/>
          <w:szCs w:val="24"/>
        </w:rPr>
        <w:t>безпековими</w:t>
      </w:r>
      <w:proofErr w:type="spellEnd"/>
      <w:r w:rsidRPr="001D5429">
        <w:rPr>
          <w:rFonts w:ascii="Times New Roman" w:eastAsia="Times New Roman" w:hAnsi="Times New Roman" w:cs="Times New Roman"/>
          <w:bCs/>
          <w:sz w:val="24"/>
          <w:szCs w:val="24"/>
        </w:rPr>
        <w:t xml:space="preserve"> викликами: Донецька громада у 2022 році опинилася в безпосередній близькості до лінії бойових дій та окупованих територій, переживала системні обстріли й суттєві руйнування інфраструктури та житла. </w:t>
      </w:r>
    </w:p>
    <w:p w:rsidR="001D5429" w:rsidRDefault="001D5429" w:rsidP="001D5429">
      <w:pPr>
        <w:spacing w:line="240" w:lineRule="auto"/>
        <w:ind w:firstLine="567"/>
        <w:jc w:val="both"/>
        <w:rPr>
          <w:rFonts w:ascii="Times New Roman" w:eastAsia="Times New Roman" w:hAnsi="Times New Roman" w:cs="Times New Roman"/>
          <w:bCs/>
          <w:sz w:val="24"/>
          <w:szCs w:val="24"/>
          <w:lang w:val="uk-UA"/>
        </w:rPr>
      </w:pPr>
      <w:r w:rsidRPr="001D5429">
        <w:rPr>
          <w:rFonts w:ascii="Times New Roman" w:eastAsia="Times New Roman" w:hAnsi="Times New Roman" w:cs="Times New Roman"/>
          <w:bCs/>
          <w:sz w:val="24"/>
          <w:szCs w:val="24"/>
        </w:rPr>
        <w:t>Саме тому одним із ключових пріоритетів подальшого розвитку є відновлення та модернізація життєво важливих систем, створення умов для повернення і закріплення населення, підтримка місцевої економіки та формування безпечного, гідного середовища життя — як основи мирного й заможного майбутнього громади.</w:t>
      </w:r>
    </w:p>
    <w:p w:rsidR="00962377" w:rsidRPr="00962377" w:rsidRDefault="00962377" w:rsidP="001D5429">
      <w:pPr>
        <w:spacing w:line="240" w:lineRule="auto"/>
        <w:ind w:firstLine="567"/>
        <w:jc w:val="both"/>
        <w:rPr>
          <w:rFonts w:ascii="Times New Roman" w:eastAsia="Times New Roman" w:hAnsi="Times New Roman" w:cs="Times New Roman"/>
          <w:b/>
          <w:bCs/>
          <w:sz w:val="24"/>
          <w:szCs w:val="24"/>
          <w:lang w:val="uk-UA"/>
        </w:rPr>
      </w:pPr>
      <w:r w:rsidRPr="00962377">
        <w:rPr>
          <w:rFonts w:ascii="Times New Roman" w:eastAsia="Times New Roman" w:hAnsi="Times New Roman" w:cs="Times New Roman"/>
          <w:b/>
          <w:bCs/>
          <w:sz w:val="24"/>
          <w:szCs w:val="24"/>
          <w:lang w:val="uk-UA"/>
        </w:rPr>
        <w:t>Чисельність і структура населення</w:t>
      </w:r>
    </w:p>
    <w:p w:rsidR="00962377" w:rsidRPr="00962377" w:rsidRDefault="00962377" w:rsidP="008453B7">
      <w:pPr>
        <w:spacing w:line="240" w:lineRule="auto"/>
        <w:ind w:firstLine="567"/>
        <w:jc w:val="both"/>
        <w:rPr>
          <w:rFonts w:ascii="Times New Roman" w:eastAsia="Times New Roman" w:hAnsi="Times New Roman" w:cs="Times New Roman"/>
          <w:sz w:val="24"/>
          <w:szCs w:val="24"/>
          <w:lang w:val="uk-UA"/>
        </w:rPr>
      </w:pPr>
      <w:r w:rsidRPr="00962377">
        <w:rPr>
          <w:rFonts w:ascii="Times New Roman" w:eastAsia="Times New Roman" w:hAnsi="Times New Roman" w:cs="Times New Roman"/>
          <w:sz w:val="24"/>
          <w:szCs w:val="24"/>
          <w:lang w:val="uk-UA"/>
        </w:rPr>
        <w:t>Станом на 01 грудня 2025 року Донецька селищна територіальна громада залишається однією з демографічно спроможних громад Ізюмського району. Загальна чисельність населення становить 20 588 осіб, що підтверджується актуалізованими обліковими даними по всіх 14 населених пунктах громади. Високий рівень верифікації реєстрів — понад 97 % — свідчить про якісну систему обліку та управління демографічною інформацією.</w:t>
      </w:r>
    </w:p>
    <w:p w:rsidR="00962377" w:rsidRPr="00962377" w:rsidRDefault="00962377" w:rsidP="008453B7">
      <w:pPr>
        <w:spacing w:line="240" w:lineRule="auto"/>
        <w:ind w:firstLine="567"/>
        <w:jc w:val="both"/>
        <w:rPr>
          <w:rFonts w:ascii="Times New Roman" w:eastAsia="Times New Roman" w:hAnsi="Times New Roman" w:cs="Times New Roman"/>
          <w:sz w:val="24"/>
          <w:szCs w:val="24"/>
          <w:lang w:val="uk-UA"/>
        </w:rPr>
      </w:pPr>
      <w:r w:rsidRPr="00962377">
        <w:rPr>
          <w:rFonts w:ascii="Times New Roman" w:eastAsia="Times New Roman" w:hAnsi="Times New Roman" w:cs="Times New Roman"/>
          <w:sz w:val="24"/>
          <w:szCs w:val="24"/>
          <w:lang w:val="uk-UA"/>
        </w:rPr>
        <w:t xml:space="preserve">Вікова структура населення громади має чітко окреслений соціальний профіль. Значну частину складають родини з дітьми, що формує сталий запит на розвиток освітньої, соціальної та молодіжної інфраструктури. Дитяче населення віком 0–17 </w:t>
      </w:r>
      <w:r w:rsidRPr="00962377">
        <w:rPr>
          <w:rFonts w:ascii="Times New Roman" w:eastAsia="Times New Roman" w:hAnsi="Times New Roman" w:cs="Times New Roman"/>
          <w:sz w:val="24"/>
          <w:szCs w:val="24"/>
          <w:lang w:val="uk-UA"/>
        </w:rPr>
        <w:lastRenderedPageBreak/>
        <w:t>років налічує 3 027 осіб, що становить 14,7 % від загальної чисельності мешканців. Таким чином, майже кожен сьомий житель громади — дитина.</w:t>
      </w:r>
    </w:p>
    <w:p w:rsidR="00962377" w:rsidRPr="00962377" w:rsidRDefault="00962377" w:rsidP="004B1E20">
      <w:pPr>
        <w:spacing w:line="240" w:lineRule="auto"/>
        <w:ind w:firstLine="567"/>
        <w:jc w:val="both"/>
        <w:rPr>
          <w:rFonts w:ascii="Times New Roman" w:eastAsia="Times New Roman" w:hAnsi="Times New Roman" w:cs="Times New Roman"/>
          <w:sz w:val="24"/>
          <w:szCs w:val="24"/>
          <w:lang w:val="uk-UA"/>
        </w:rPr>
      </w:pPr>
      <w:r w:rsidRPr="00962377">
        <w:rPr>
          <w:rFonts w:ascii="Times New Roman" w:eastAsia="Times New Roman" w:hAnsi="Times New Roman" w:cs="Times New Roman"/>
          <w:sz w:val="24"/>
          <w:szCs w:val="24"/>
          <w:lang w:val="uk-UA"/>
        </w:rPr>
        <w:t>Внутрішня вікова структура дитячого контингенту є показовою: найбільшу частку становлять діти шкільного та підліткового віку. Майже 60 % дітей припадає на вікову групу 6–14 років, що свідчить про високу актуальність питань розвитку закладів загальної середньої освіти, позашкільної роботи, спорту та профорієнтації. Водночас частка підлітків 15–17 років формує потенціал майбутньої молоді громади — активної, соціально залученої та орієнтованої на професійне самовизначення.</w:t>
      </w:r>
    </w:p>
    <w:p w:rsidR="00962377" w:rsidRPr="00962377" w:rsidRDefault="00962377" w:rsidP="004B1E20">
      <w:pPr>
        <w:spacing w:line="240" w:lineRule="auto"/>
        <w:ind w:firstLine="567"/>
        <w:jc w:val="both"/>
        <w:rPr>
          <w:rFonts w:ascii="Times New Roman" w:eastAsia="Times New Roman" w:hAnsi="Times New Roman" w:cs="Times New Roman"/>
          <w:sz w:val="24"/>
          <w:szCs w:val="24"/>
          <w:lang w:val="uk-UA"/>
        </w:rPr>
      </w:pPr>
      <w:r w:rsidRPr="00962377">
        <w:rPr>
          <w:rFonts w:ascii="Times New Roman" w:eastAsia="Times New Roman" w:hAnsi="Times New Roman" w:cs="Times New Roman"/>
          <w:sz w:val="24"/>
          <w:szCs w:val="24"/>
          <w:lang w:val="uk-UA"/>
        </w:rPr>
        <w:t>Характерною особливістю демографічного розселення є територіальна концентрація населення: понад три чверті дитячого населення проживає у двох найбільших населених пунктах — селищах Донець і Андріївка, що визначає просторові пріоритети розвитку соціальної інфраструктури та публічних сервісів.</w:t>
      </w:r>
    </w:p>
    <w:p w:rsidR="00D44382" w:rsidRPr="0034148B" w:rsidRDefault="00D44382" w:rsidP="00D44382">
      <w:pPr>
        <w:spacing w:line="240" w:lineRule="auto"/>
        <w:ind w:firstLine="567"/>
        <w:jc w:val="both"/>
        <w:rPr>
          <w:rFonts w:ascii="Times New Roman" w:eastAsia="Times New Roman" w:hAnsi="Times New Roman" w:cs="Times New Roman"/>
          <w:b/>
          <w:sz w:val="24"/>
          <w:szCs w:val="24"/>
          <w:lang w:val="uk-UA"/>
        </w:rPr>
      </w:pPr>
      <w:r w:rsidRPr="0034148B">
        <w:rPr>
          <w:rFonts w:ascii="Times New Roman" w:eastAsia="Times New Roman" w:hAnsi="Times New Roman" w:cs="Times New Roman"/>
          <w:b/>
          <w:sz w:val="24"/>
          <w:szCs w:val="24"/>
          <w:lang w:val="uk-UA"/>
        </w:rPr>
        <w:t>Соціально-економічний профіль</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Соціально-економічний розвиток Донецької селищної територіальної громади має аграрно-промисловий характер і ґрунтується на поєднанні сільськогосподарського виробництва, промислової діяльності паливно-енергетичного спрямування, малого бізнесу, а також комунальних і бюджетних установ. Така структура економіки забезпечує відносну стійкість громади, диверсифікацію зайнятості населення та формує базові передумови для стабільних бюджетних надходжень.</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Ключовими галузями економіки громади є сільське господарство та промисловий сектор паливно-енергетичного комплексу. Сільськогосподарська діяльність зосереджена переважно в межах старостинських округів і базується на використанні земель сільськогосподарського призначення. Аграрний сектор відіграє важливу роль у забезпеченні зайнятості населення сільської місцевості, підтримує локальну економічну активність і формує традиційні виробничі ланцюги.</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Промисловий сегмент економіки громади пов’язаний із діяльністю підприємств паливно-енергетичного спрямування, виробнича інфраструктура яких зосереджена в адміністративному центрі громади та на прилеглих територіях. Цей сектор формує значну частину робочих місць у промисловості та істотно впливає на структуру місцевого ринку праці.</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Важливу роль у соціально-економічному розвитку громади відіграють комунальні та бюджетні установи, зокрема заклади охорони здоров’я, освіти, соціального захисту та житлово-комунального господарства. Вони забезпечують сталу зайнятість населення, виконують ключові соціальні функції та формують регулярні надходження до бюджетів різних рівнів у вигляді обов’язкових платежів і соціальних внесків.</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Загалом економічна структура громади є диверсифікованою та забезпечує базові умови для функціонування місцевого ринку праці, з урахуванням як виробничої, так і соціальної складових розвитку.</w:t>
      </w:r>
    </w:p>
    <w:p w:rsidR="0034148B" w:rsidRDefault="00D44382" w:rsidP="0034148B">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 xml:space="preserve">Ринок праці Донецької селищної територіальної громади формується під впливом галузевої структури економіки та демографічних особливостей населення. Основними сферами зайнятості є сільське господарство, промислове виробництво паливно-енергетичного спрямування, </w:t>
      </w:r>
      <w:r w:rsidR="0034148B">
        <w:rPr>
          <w:rFonts w:ascii="Times New Roman" w:eastAsia="Times New Roman" w:hAnsi="Times New Roman" w:cs="Times New Roman"/>
          <w:sz w:val="24"/>
          <w:szCs w:val="24"/>
          <w:lang w:val="uk-UA"/>
        </w:rPr>
        <w:t>бюджетна сфера та сфера послуг.</w:t>
      </w:r>
    </w:p>
    <w:p w:rsidR="00D44382" w:rsidRPr="00D44382" w:rsidRDefault="00D44382" w:rsidP="0034148B">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 xml:space="preserve">Для громади характерне поєднання локальної зайнятості в межах населених пунктів і трудової мобільності населення між </w:t>
      </w:r>
      <w:proofErr w:type="spellStart"/>
      <w:r w:rsidRPr="00D44382">
        <w:rPr>
          <w:rFonts w:ascii="Times New Roman" w:eastAsia="Times New Roman" w:hAnsi="Times New Roman" w:cs="Times New Roman"/>
          <w:sz w:val="24"/>
          <w:szCs w:val="24"/>
          <w:lang w:val="uk-UA"/>
        </w:rPr>
        <w:t>старостинськими</w:t>
      </w:r>
      <w:proofErr w:type="spellEnd"/>
      <w:r w:rsidRPr="00D44382">
        <w:rPr>
          <w:rFonts w:ascii="Times New Roman" w:eastAsia="Times New Roman" w:hAnsi="Times New Roman" w:cs="Times New Roman"/>
          <w:sz w:val="24"/>
          <w:szCs w:val="24"/>
          <w:lang w:val="uk-UA"/>
        </w:rPr>
        <w:t xml:space="preserve"> округами та адміністративним центром. Частина працездатного населення залучена до роботи у промисловому секторі, частина — у сільському господарстві, бюджетних установах і сфері послуг.</w:t>
      </w:r>
    </w:p>
    <w:p w:rsidR="00D44382" w:rsidRP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 xml:space="preserve">Структура ринку праці зумовлює попит на професії робітничого та технічного спрямування, спеціальності аграрного профілю, а також на педагогічних, медичних і </w:t>
      </w:r>
      <w:r w:rsidRPr="00D44382">
        <w:rPr>
          <w:rFonts w:ascii="Times New Roman" w:eastAsia="Times New Roman" w:hAnsi="Times New Roman" w:cs="Times New Roman"/>
          <w:sz w:val="24"/>
          <w:szCs w:val="24"/>
          <w:lang w:val="uk-UA"/>
        </w:rPr>
        <w:lastRenderedPageBreak/>
        <w:t>соціальних працівників. Водночас для дітей і підлітків актуальними є питання усвідомленого професійного вибору з урахуванням реальних можливостей працевлаштування як у межах громади, так і за її межами.</w:t>
      </w:r>
    </w:p>
    <w:p w:rsidR="00D44382" w:rsidRDefault="00D44382" w:rsidP="00D44382">
      <w:pPr>
        <w:spacing w:line="240" w:lineRule="auto"/>
        <w:ind w:firstLine="567"/>
        <w:jc w:val="both"/>
        <w:rPr>
          <w:rFonts w:ascii="Times New Roman" w:eastAsia="Times New Roman" w:hAnsi="Times New Roman" w:cs="Times New Roman"/>
          <w:sz w:val="24"/>
          <w:szCs w:val="24"/>
          <w:lang w:val="uk-UA"/>
        </w:rPr>
      </w:pPr>
      <w:r w:rsidRPr="00D44382">
        <w:rPr>
          <w:rFonts w:ascii="Times New Roman" w:eastAsia="Times New Roman" w:hAnsi="Times New Roman" w:cs="Times New Roman"/>
          <w:sz w:val="24"/>
          <w:szCs w:val="24"/>
          <w:lang w:val="uk-UA"/>
        </w:rPr>
        <w:t>У цьому контексті впровадження системи профорієнтації дітей і підлітків у громаді є важливим інструментом узгодження освітніх траєкторій із потребами місцевого та регіонального ринку праці, формування трудового потенціалу громади та зменшення ризиків молодіжного безробіття в довгостроковій перспективі.</w:t>
      </w:r>
    </w:p>
    <w:p w:rsidR="00D44382" w:rsidRPr="00962377" w:rsidRDefault="00D44382" w:rsidP="00962377">
      <w:pPr>
        <w:ind w:left="360"/>
        <w:rPr>
          <w:rFonts w:ascii="Times New Roman" w:eastAsia="Times New Roman" w:hAnsi="Times New Roman" w:cs="Times New Roman"/>
          <w:sz w:val="24"/>
          <w:szCs w:val="24"/>
          <w:lang w:val="uk-UA"/>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Освітня інфраструктура</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Освітня мережа Донецької селищної територіальної громади сьогодні охоплює шість ліцеїв, які історично функціонували як заклади повної загальної середньої освіти (1–11 класи). З огляду на безпекові умови навчання в громаді здійснюється у дистанційному форматі, водночас контингент залишається відносно стабільним: 1 687 учнів здобувають освіту у закладах громади.</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Три найбільші за чисельністю здобувачів освіти заклади — Андріївський ліцей №1, Донецький ліцей №1, Донецький ліцей №2 — мають розгалужені паралелі та сформовані педагогічні колективи. Інші три — Андріївський ліцей №2, Пришибський і П’ятигірський — є меншими за контингентом, проте зберігають повну вертикаль класів.</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Суттєвим обмеженням для системного впровадження профорієнтації у громаді є розпорошеність старшої школи: у кожному закладі функціонує лише один 10-й і один 11-й клас. За таких умов істотно ускладнюється реалізація ключових компонентів профорієнтаційної роботи та індивідуальних освітніх траєкторій, зокрема:</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обмежуються можливості створення кількох профільних груп/класів на паралелі;</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звужується спектр варіативних модулів, факультативів і курсів за вибором;</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складно забезпечити реальну персоналізацію освітніх траєкторій відповідно до інтересів і здібностей учнів;</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зростають ризики кадрової та ресурсної невідповідності для реалізації профільності;</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підвищується фінансова неефективність утримання множинних малокомплектних старших класів.</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У контексті профорієнтації це означає, що навіть за наявності мотивації в учнів та підтримки вчителів, школа часто не має організаційних і кадрових можливостей запропонувати достатній вибір освітніх та кар’єрних маршрутів.</w:t>
      </w:r>
    </w:p>
    <w:p w:rsidR="00094701" w:rsidRPr="005D30A1" w:rsidRDefault="00094701" w:rsidP="00094701">
      <w:pPr>
        <w:spacing w:line="240" w:lineRule="auto"/>
        <w:ind w:firstLine="567"/>
        <w:jc w:val="both"/>
        <w:rPr>
          <w:rFonts w:ascii="Times New Roman" w:eastAsia="Times New Roman" w:hAnsi="Times New Roman" w:cs="Times New Roman"/>
          <w:b/>
          <w:sz w:val="24"/>
          <w:szCs w:val="24"/>
          <w:lang w:val="uk-UA"/>
        </w:rPr>
      </w:pPr>
      <w:r w:rsidRPr="005D30A1">
        <w:rPr>
          <w:rFonts w:ascii="Times New Roman" w:eastAsia="Times New Roman" w:hAnsi="Times New Roman" w:cs="Times New Roman"/>
          <w:b/>
          <w:sz w:val="24"/>
          <w:szCs w:val="24"/>
          <w:lang w:val="uk-UA"/>
        </w:rPr>
        <w:t>Інклюзія та індивідуальні освітні траєкторії: ресурсний аспект профорієнтації</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Додатковим аргументом на користь концентрації ресурсів і підсилення опорних освітніх центрів є розвиток інклюзивної освіти та індивідуальних форм навчання. У громаді функціонують 10 інклюзивних класів, у яких навчаються 211 учнів, з них 10 дітей з особливими освітніми потребами. Також 28 учнів здобувають освіту за індивідуальною формою навчання.</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Інклюзія та індивідуальні траєкторії потребують не лише педагогічної уваги, а й достатньої інституційної спроможності закладу: наявності (або доступу) до асистентів учителя, корекційних фахівців, психологічної підтримки, матеріально-технічної бази та організаційних механізмів супроводу. У такому вимірі посилення ресурсних закладів є важливим чинником забезпечення якості освітніх послуг, а також розвитку профорієнтації як інструменту соціалізації та життєвого самовизначення для всіх учнів, у тому числі для дітей з ООП.</w:t>
      </w:r>
    </w:p>
    <w:p w:rsidR="00094701" w:rsidRPr="005D30A1" w:rsidRDefault="00094701" w:rsidP="00094701">
      <w:pPr>
        <w:spacing w:line="240" w:lineRule="auto"/>
        <w:ind w:firstLine="567"/>
        <w:jc w:val="both"/>
        <w:rPr>
          <w:rFonts w:ascii="Times New Roman" w:eastAsia="Times New Roman" w:hAnsi="Times New Roman" w:cs="Times New Roman"/>
          <w:b/>
          <w:sz w:val="24"/>
          <w:szCs w:val="24"/>
          <w:lang w:val="uk-UA"/>
        </w:rPr>
      </w:pPr>
      <w:r w:rsidRPr="005D30A1">
        <w:rPr>
          <w:rFonts w:ascii="Times New Roman" w:eastAsia="Times New Roman" w:hAnsi="Times New Roman" w:cs="Times New Roman"/>
          <w:b/>
          <w:sz w:val="24"/>
          <w:szCs w:val="24"/>
          <w:lang w:val="uk-UA"/>
        </w:rPr>
        <w:t>Демографічний контекст і реальний контингент як основа планування профорієнтації</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Планування профорієнтаційної роботи у громаді має спиратися на реальний контингент дітей, а не лише на формальні реєстри. За демографічним обліком у громаді зареєстровано приблизно 3 000 дітей віком 0–17 років, водночас фактично у закладах громади навчаються 1 687 школярів і 449 вихованців дошкільної освіти, що у сукупності становить близько 70 % від кількості зареєстрованих дітей. На зменшення охоплення впливають виїзд сімей за кордон, навчання дітей в інших регіонах, індивідуальні дистанційні траєкторії, а також міграційні процеси, пов’язані з воєнним станом.</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Аналіз вікової структури показує, що найважливіші для прогнозування старшої школи групи — 10–14 та 15–17 років — у громаді є відносно стабільними. Це створює підстави прогнозувати можливість формування на рівні громади кількох стабільних профільних груп/класів у старшій школі, за умови концентрації ресурсів. Для системи профорієнтації це принципово, адже саме старша школа є основним середовищем для поглибленого самовизначення, практикоорієнтованого навчання, підготовки до вступу та формування кар’єрних планів.</w:t>
      </w:r>
    </w:p>
    <w:p w:rsidR="00094701" w:rsidRPr="005D30A1" w:rsidRDefault="00094701" w:rsidP="00094701">
      <w:pPr>
        <w:spacing w:line="240" w:lineRule="auto"/>
        <w:ind w:firstLine="567"/>
        <w:jc w:val="both"/>
        <w:rPr>
          <w:rFonts w:ascii="Times New Roman" w:eastAsia="Times New Roman" w:hAnsi="Times New Roman" w:cs="Times New Roman"/>
          <w:b/>
          <w:sz w:val="24"/>
          <w:szCs w:val="24"/>
          <w:lang w:val="uk-UA"/>
        </w:rPr>
      </w:pPr>
      <w:r w:rsidRPr="005D30A1">
        <w:rPr>
          <w:rFonts w:ascii="Times New Roman" w:eastAsia="Times New Roman" w:hAnsi="Times New Roman" w:cs="Times New Roman"/>
          <w:b/>
          <w:sz w:val="24"/>
          <w:szCs w:val="24"/>
          <w:lang w:val="uk-UA"/>
        </w:rPr>
        <w:t>Організаційні рішення громади як рамка для профорієнтації</w:t>
      </w:r>
    </w:p>
    <w:p w:rsidR="00094701" w:rsidRPr="00094701"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Рішення громади щодо визначення опорних закладів і поетапної трансформації освітньої мережі (2024–2025 роки) створили організаційну основу для розвитку профорієнтації як системи: підсилення освітніх центрів дає можливість концентрувати кадрові ресурси, формувати більш різноманітну освітню пропозицію, створювати профорієнтаційні модулі, розвивати партнерства з роботодавцями, закладами професійної та фахової передвищої освіти, а також забезпечувати якісні консультаційні та психологічні сервіси.</w:t>
      </w:r>
    </w:p>
    <w:p w:rsidR="002F3A3D" w:rsidRDefault="00094701" w:rsidP="00094701">
      <w:pPr>
        <w:spacing w:line="240" w:lineRule="auto"/>
        <w:ind w:firstLine="567"/>
        <w:jc w:val="both"/>
        <w:rPr>
          <w:rFonts w:ascii="Times New Roman" w:eastAsia="Times New Roman" w:hAnsi="Times New Roman" w:cs="Times New Roman"/>
          <w:sz w:val="24"/>
          <w:szCs w:val="24"/>
          <w:lang w:val="uk-UA"/>
        </w:rPr>
      </w:pPr>
      <w:r w:rsidRPr="00094701">
        <w:rPr>
          <w:rFonts w:ascii="Times New Roman" w:eastAsia="Times New Roman" w:hAnsi="Times New Roman" w:cs="Times New Roman"/>
          <w:sz w:val="24"/>
          <w:szCs w:val="24"/>
          <w:lang w:val="uk-UA"/>
        </w:rPr>
        <w:t>Отже, особливості освітньої мережі громади — дистанційність навчання, розпорошеність старшої школи, інклюзивний компонент і демографічна динаміка — безпосередньо визначають умови, у яких впроваджується профорієнтація. Саме тому системні рішення щодо організації мережі та концентрації ресурсів є важливою передумовою для того, щоб профорієнтаційна робота була не епізодичною, а послідовною, доступною та результативною для кожної дитини.</w:t>
      </w:r>
    </w:p>
    <w:p w:rsidR="00CA287C" w:rsidRPr="00CA287C" w:rsidRDefault="00CA287C" w:rsidP="00CA287C">
      <w:pPr>
        <w:spacing w:line="240" w:lineRule="auto"/>
        <w:ind w:firstLine="567"/>
        <w:jc w:val="both"/>
        <w:rPr>
          <w:rFonts w:ascii="Times New Roman" w:eastAsia="Times New Roman" w:hAnsi="Times New Roman" w:cs="Times New Roman"/>
          <w:b/>
          <w:sz w:val="24"/>
          <w:szCs w:val="24"/>
          <w:lang w:val="uk-UA"/>
        </w:rPr>
      </w:pPr>
      <w:r w:rsidRPr="00CA287C">
        <w:rPr>
          <w:rFonts w:ascii="Times New Roman" w:eastAsia="Times New Roman" w:hAnsi="Times New Roman" w:cs="Times New Roman"/>
          <w:b/>
          <w:sz w:val="24"/>
          <w:szCs w:val="24"/>
          <w:lang w:val="uk-UA"/>
        </w:rPr>
        <w:t>Дошкільна освіта</w:t>
      </w:r>
    </w:p>
    <w:p w:rsidR="00CA287C" w:rsidRPr="00CA287C" w:rsidRDefault="00CA287C" w:rsidP="00CA287C">
      <w:pPr>
        <w:spacing w:line="240" w:lineRule="auto"/>
        <w:ind w:firstLine="567"/>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 xml:space="preserve">На території Донецької селищної територіальної громади функціонують </w:t>
      </w:r>
      <w:r w:rsidRPr="00CA287C">
        <w:rPr>
          <w:rFonts w:ascii="Times New Roman" w:eastAsia="Times New Roman" w:hAnsi="Times New Roman" w:cs="Times New Roman"/>
          <w:bCs/>
          <w:sz w:val="24"/>
          <w:szCs w:val="24"/>
          <w:lang w:val="uk-UA"/>
        </w:rPr>
        <w:t>3 заклади дошкільної освіти та 1 дошкільний підрозділ у складі Пришибського ліцею</w:t>
      </w:r>
      <w:r>
        <w:rPr>
          <w:rFonts w:ascii="Times New Roman" w:eastAsia="Times New Roman" w:hAnsi="Times New Roman" w:cs="Times New Roman"/>
          <w:sz w:val="24"/>
          <w:szCs w:val="24"/>
          <w:lang w:val="uk-UA"/>
        </w:rPr>
        <w:t xml:space="preserve">, у яких </w:t>
      </w:r>
      <w:r w:rsidRPr="00CA287C">
        <w:rPr>
          <w:rFonts w:ascii="Times New Roman" w:eastAsia="Times New Roman" w:hAnsi="Times New Roman" w:cs="Times New Roman"/>
          <w:sz w:val="24"/>
          <w:szCs w:val="24"/>
          <w:lang w:val="uk-UA"/>
        </w:rPr>
        <w:t>органі</w:t>
      </w:r>
      <w:r>
        <w:rPr>
          <w:rFonts w:ascii="Times New Roman" w:eastAsia="Times New Roman" w:hAnsi="Times New Roman" w:cs="Times New Roman"/>
          <w:sz w:val="24"/>
          <w:szCs w:val="24"/>
          <w:lang w:val="uk-UA"/>
        </w:rPr>
        <w:t xml:space="preserve">зовано роботу </w:t>
      </w:r>
      <w:r>
        <w:rPr>
          <w:rFonts w:ascii="Times New Roman" w:eastAsia="Times New Roman" w:hAnsi="Times New Roman" w:cs="Times New Roman"/>
          <w:bCs/>
          <w:sz w:val="24"/>
          <w:szCs w:val="24"/>
          <w:lang w:val="uk-UA"/>
        </w:rPr>
        <w:t xml:space="preserve">30 </w:t>
      </w:r>
      <w:r w:rsidRPr="00CA287C">
        <w:rPr>
          <w:rFonts w:ascii="Times New Roman" w:eastAsia="Times New Roman" w:hAnsi="Times New Roman" w:cs="Times New Roman"/>
          <w:bCs/>
          <w:sz w:val="24"/>
          <w:szCs w:val="24"/>
          <w:lang w:val="uk-UA"/>
        </w:rPr>
        <w:t>груп</w:t>
      </w:r>
      <w:r>
        <w:rPr>
          <w:rFonts w:ascii="Times New Roman" w:eastAsia="Times New Roman" w:hAnsi="Times New Roman" w:cs="Times New Roman"/>
          <w:sz w:val="24"/>
          <w:szCs w:val="24"/>
          <w:lang w:val="uk-UA"/>
        </w:rPr>
        <w:t xml:space="preserve">. </w:t>
      </w:r>
      <w:r w:rsidRPr="00CA287C">
        <w:rPr>
          <w:rFonts w:ascii="Times New Roman" w:eastAsia="Times New Roman" w:hAnsi="Times New Roman" w:cs="Times New Roman"/>
          <w:sz w:val="24"/>
          <w:szCs w:val="24"/>
          <w:lang w:val="uk-UA"/>
        </w:rPr>
        <w:t xml:space="preserve">У </w:t>
      </w:r>
      <w:r w:rsidRPr="00CA287C">
        <w:rPr>
          <w:rFonts w:ascii="Times New Roman" w:eastAsia="Times New Roman" w:hAnsi="Times New Roman" w:cs="Times New Roman"/>
          <w:bCs/>
          <w:sz w:val="24"/>
          <w:szCs w:val="24"/>
          <w:lang w:val="uk-UA"/>
        </w:rPr>
        <w:t>2025/2026 навчальному році</w:t>
      </w:r>
      <w:r w:rsidRPr="00CA287C">
        <w:rPr>
          <w:rFonts w:ascii="Times New Roman" w:eastAsia="Times New Roman" w:hAnsi="Times New Roman" w:cs="Times New Roman"/>
          <w:sz w:val="24"/>
          <w:szCs w:val="24"/>
          <w:lang w:val="uk-UA"/>
        </w:rPr>
        <w:t xml:space="preserve"> заклади дошкільної освіти відвідують </w:t>
      </w:r>
      <w:r w:rsidRPr="00CA287C">
        <w:rPr>
          <w:rFonts w:ascii="Times New Roman" w:eastAsia="Times New Roman" w:hAnsi="Times New Roman" w:cs="Times New Roman"/>
          <w:bCs/>
          <w:sz w:val="24"/>
          <w:szCs w:val="24"/>
          <w:lang w:val="uk-UA"/>
        </w:rPr>
        <w:t>440 дітей</w:t>
      </w:r>
      <w:r w:rsidRPr="00CA287C">
        <w:rPr>
          <w:rFonts w:ascii="Times New Roman" w:eastAsia="Times New Roman" w:hAnsi="Times New Roman" w:cs="Times New Roman"/>
          <w:sz w:val="24"/>
          <w:szCs w:val="24"/>
          <w:lang w:val="uk-UA"/>
        </w:rPr>
        <w:t xml:space="preserve">. Показник завантаженості становить </w:t>
      </w:r>
      <w:r w:rsidRPr="00CA287C">
        <w:rPr>
          <w:rFonts w:ascii="Times New Roman" w:eastAsia="Times New Roman" w:hAnsi="Times New Roman" w:cs="Times New Roman"/>
          <w:bCs/>
          <w:sz w:val="24"/>
          <w:szCs w:val="24"/>
          <w:lang w:val="uk-UA"/>
        </w:rPr>
        <w:t>58 дітей на 100 місць</w:t>
      </w:r>
      <w:r w:rsidRPr="00CA287C">
        <w:rPr>
          <w:rFonts w:ascii="Times New Roman" w:eastAsia="Times New Roman" w:hAnsi="Times New Roman" w:cs="Times New Roman"/>
          <w:sz w:val="24"/>
          <w:szCs w:val="24"/>
          <w:lang w:val="uk-UA"/>
        </w:rPr>
        <w:t>, що свідчить про наявність резерву потужностей та потенціал для подальшого розвитку мережі.</w:t>
      </w:r>
    </w:p>
    <w:p w:rsidR="00CA287C" w:rsidRPr="00CA287C" w:rsidRDefault="00CA287C" w:rsidP="00CA287C">
      <w:pPr>
        <w:spacing w:line="240" w:lineRule="auto"/>
        <w:ind w:firstLine="567"/>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 xml:space="preserve">Охоплення дошкільною освітою дітей віком від </w:t>
      </w:r>
      <w:r w:rsidRPr="00CA287C">
        <w:rPr>
          <w:rFonts w:ascii="Times New Roman" w:eastAsia="Times New Roman" w:hAnsi="Times New Roman" w:cs="Times New Roman"/>
          <w:bCs/>
          <w:sz w:val="24"/>
          <w:szCs w:val="24"/>
          <w:lang w:val="uk-UA"/>
        </w:rPr>
        <w:t>0 до 6 (7) років</w:t>
      </w:r>
      <w:r w:rsidRPr="00CA287C">
        <w:rPr>
          <w:rFonts w:ascii="Times New Roman" w:eastAsia="Times New Roman" w:hAnsi="Times New Roman" w:cs="Times New Roman"/>
          <w:sz w:val="24"/>
          <w:szCs w:val="24"/>
          <w:lang w:val="uk-UA"/>
        </w:rPr>
        <w:t xml:space="preserve"> складає </w:t>
      </w:r>
      <w:r w:rsidRPr="00CA287C">
        <w:rPr>
          <w:rFonts w:ascii="Times New Roman" w:eastAsia="Times New Roman" w:hAnsi="Times New Roman" w:cs="Times New Roman"/>
          <w:bCs/>
          <w:sz w:val="24"/>
          <w:szCs w:val="24"/>
          <w:lang w:val="uk-UA"/>
        </w:rPr>
        <w:t>61 %</w:t>
      </w:r>
      <w:r w:rsidRPr="00CA287C">
        <w:rPr>
          <w:rFonts w:ascii="Times New Roman" w:eastAsia="Times New Roman" w:hAnsi="Times New Roman" w:cs="Times New Roman"/>
          <w:sz w:val="24"/>
          <w:szCs w:val="24"/>
          <w:lang w:val="uk-UA"/>
        </w:rPr>
        <w:t>, що визначає актуальність роботи з підвищення доступності та привабливості дошкільної освіти, зокрема через формування позитивного іміджу педагогічних професій у громаді.</w:t>
      </w:r>
    </w:p>
    <w:p w:rsidR="00CA287C" w:rsidRPr="00CA287C" w:rsidRDefault="00CA287C" w:rsidP="00CA287C">
      <w:pPr>
        <w:spacing w:line="240" w:lineRule="auto"/>
        <w:ind w:firstLine="567"/>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 xml:space="preserve">У </w:t>
      </w:r>
      <w:r w:rsidRPr="00CA287C">
        <w:rPr>
          <w:rFonts w:ascii="Times New Roman" w:eastAsia="Times New Roman" w:hAnsi="Times New Roman" w:cs="Times New Roman"/>
          <w:bCs/>
          <w:sz w:val="24"/>
          <w:szCs w:val="24"/>
          <w:lang w:val="uk-UA"/>
        </w:rPr>
        <w:t>Андріївському закладі дошкільної освіти</w:t>
      </w:r>
      <w:r w:rsidRPr="00CA287C">
        <w:rPr>
          <w:rFonts w:ascii="Times New Roman" w:eastAsia="Times New Roman" w:hAnsi="Times New Roman" w:cs="Times New Roman"/>
          <w:sz w:val="24"/>
          <w:szCs w:val="24"/>
          <w:lang w:val="uk-UA"/>
        </w:rPr>
        <w:t xml:space="preserve"> функціонує </w:t>
      </w:r>
      <w:r w:rsidRPr="00CA287C">
        <w:rPr>
          <w:rFonts w:ascii="Times New Roman" w:eastAsia="Times New Roman" w:hAnsi="Times New Roman" w:cs="Times New Roman"/>
          <w:bCs/>
          <w:sz w:val="24"/>
          <w:szCs w:val="24"/>
          <w:lang w:val="uk-UA"/>
        </w:rPr>
        <w:t>інклюзивна група</w:t>
      </w:r>
      <w:r w:rsidRPr="00CA287C">
        <w:rPr>
          <w:rFonts w:ascii="Times New Roman" w:eastAsia="Times New Roman" w:hAnsi="Times New Roman" w:cs="Times New Roman"/>
          <w:sz w:val="24"/>
          <w:szCs w:val="24"/>
          <w:lang w:val="uk-UA"/>
        </w:rPr>
        <w:t xml:space="preserve">, у якій працює </w:t>
      </w:r>
      <w:r w:rsidRPr="00CA287C">
        <w:rPr>
          <w:rFonts w:ascii="Times New Roman" w:eastAsia="Times New Roman" w:hAnsi="Times New Roman" w:cs="Times New Roman"/>
          <w:bCs/>
          <w:sz w:val="24"/>
          <w:szCs w:val="24"/>
          <w:lang w:val="uk-UA"/>
        </w:rPr>
        <w:t>асистент вихователя</w:t>
      </w:r>
      <w:r w:rsidRPr="00CA287C">
        <w:rPr>
          <w:rFonts w:ascii="Times New Roman" w:eastAsia="Times New Roman" w:hAnsi="Times New Roman" w:cs="Times New Roman"/>
          <w:sz w:val="24"/>
          <w:szCs w:val="24"/>
          <w:lang w:val="uk-UA"/>
        </w:rPr>
        <w:t xml:space="preserve">. З метою створення комфортних умов та забезпечення якісного освітнього середовища за кошти місцевого бюджету </w:t>
      </w:r>
      <w:r w:rsidRPr="00CA287C">
        <w:rPr>
          <w:rFonts w:ascii="Times New Roman" w:eastAsia="Times New Roman" w:hAnsi="Times New Roman" w:cs="Times New Roman"/>
          <w:bCs/>
          <w:sz w:val="24"/>
          <w:szCs w:val="24"/>
          <w:lang w:val="uk-UA"/>
        </w:rPr>
        <w:t>облаштовано ресурсну кімнату</w:t>
      </w:r>
      <w:r w:rsidRPr="00CA287C">
        <w:rPr>
          <w:rFonts w:ascii="Times New Roman" w:eastAsia="Times New Roman" w:hAnsi="Times New Roman" w:cs="Times New Roman"/>
          <w:sz w:val="24"/>
          <w:szCs w:val="24"/>
          <w:lang w:val="uk-UA"/>
        </w:rPr>
        <w:t>, що розширює можливості професійної реалізації педагогів у сфері інклюзивної освіти.</w:t>
      </w:r>
    </w:p>
    <w:p w:rsidR="00CA287C" w:rsidRPr="00CA287C" w:rsidRDefault="00CA287C" w:rsidP="00CA287C">
      <w:pPr>
        <w:spacing w:line="240" w:lineRule="auto"/>
        <w:ind w:firstLine="567"/>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Кадровий потенціал закладів дошкільної освіти громади представлений педагогічними працівниками з різним рівнем фахової підготовки:</w:t>
      </w:r>
    </w:p>
    <w:p w:rsidR="00CA287C" w:rsidRPr="00F83CD7" w:rsidRDefault="00CA287C" w:rsidP="00CA287C">
      <w:pPr>
        <w:numPr>
          <w:ilvl w:val="0"/>
          <w:numId w:val="23"/>
        </w:numPr>
        <w:spacing w:line="240" w:lineRule="auto"/>
        <w:jc w:val="both"/>
        <w:rPr>
          <w:rFonts w:ascii="Times New Roman" w:eastAsia="Times New Roman" w:hAnsi="Times New Roman" w:cs="Times New Roman"/>
          <w:sz w:val="24"/>
          <w:szCs w:val="24"/>
          <w:lang w:val="uk-UA"/>
        </w:rPr>
      </w:pPr>
      <w:r w:rsidRPr="00F83CD7">
        <w:rPr>
          <w:rFonts w:ascii="Times New Roman" w:eastAsia="Times New Roman" w:hAnsi="Times New Roman" w:cs="Times New Roman"/>
          <w:bCs/>
          <w:sz w:val="24"/>
          <w:szCs w:val="24"/>
          <w:lang w:val="uk-UA"/>
        </w:rPr>
        <w:t>25 осіб (38,5 %)</w:t>
      </w:r>
      <w:r w:rsidRPr="00F83CD7">
        <w:rPr>
          <w:rFonts w:ascii="Times New Roman" w:eastAsia="Times New Roman" w:hAnsi="Times New Roman" w:cs="Times New Roman"/>
          <w:sz w:val="24"/>
          <w:szCs w:val="24"/>
          <w:lang w:val="uk-UA"/>
        </w:rPr>
        <w:t xml:space="preserve"> мають освітньо-кваліфікаційний рівень </w:t>
      </w:r>
      <w:r w:rsidRPr="00F83CD7">
        <w:rPr>
          <w:rFonts w:ascii="Times New Roman" w:eastAsia="Times New Roman" w:hAnsi="Times New Roman" w:cs="Times New Roman"/>
          <w:iCs/>
          <w:sz w:val="24"/>
          <w:szCs w:val="24"/>
          <w:lang w:val="uk-UA"/>
        </w:rPr>
        <w:t>молодший бакалавр / молодший спеціаліст</w:t>
      </w:r>
      <w:r w:rsidRPr="00F83CD7">
        <w:rPr>
          <w:rFonts w:ascii="Times New Roman" w:eastAsia="Times New Roman" w:hAnsi="Times New Roman" w:cs="Times New Roman"/>
          <w:sz w:val="24"/>
          <w:szCs w:val="24"/>
          <w:lang w:val="uk-UA"/>
        </w:rPr>
        <w:t>;</w:t>
      </w:r>
    </w:p>
    <w:p w:rsidR="00CA287C" w:rsidRPr="00F83CD7" w:rsidRDefault="00CA287C" w:rsidP="00CA287C">
      <w:pPr>
        <w:numPr>
          <w:ilvl w:val="0"/>
          <w:numId w:val="23"/>
        </w:numPr>
        <w:spacing w:line="240" w:lineRule="auto"/>
        <w:jc w:val="both"/>
        <w:rPr>
          <w:rFonts w:ascii="Times New Roman" w:eastAsia="Times New Roman" w:hAnsi="Times New Roman" w:cs="Times New Roman"/>
          <w:sz w:val="24"/>
          <w:szCs w:val="24"/>
          <w:lang w:val="uk-UA"/>
        </w:rPr>
      </w:pPr>
      <w:r w:rsidRPr="00F83CD7">
        <w:rPr>
          <w:rFonts w:ascii="Times New Roman" w:eastAsia="Times New Roman" w:hAnsi="Times New Roman" w:cs="Times New Roman"/>
          <w:bCs/>
          <w:sz w:val="24"/>
          <w:szCs w:val="24"/>
          <w:lang w:val="uk-UA"/>
        </w:rPr>
        <w:lastRenderedPageBreak/>
        <w:t>37 осіб (57 %)</w:t>
      </w:r>
      <w:r w:rsidRPr="00F83CD7">
        <w:rPr>
          <w:rFonts w:ascii="Times New Roman" w:eastAsia="Times New Roman" w:hAnsi="Times New Roman" w:cs="Times New Roman"/>
          <w:sz w:val="24"/>
          <w:szCs w:val="24"/>
          <w:lang w:val="uk-UA"/>
        </w:rPr>
        <w:t xml:space="preserve"> — </w:t>
      </w:r>
      <w:r w:rsidRPr="00F83CD7">
        <w:rPr>
          <w:rFonts w:ascii="Times New Roman" w:eastAsia="Times New Roman" w:hAnsi="Times New Roman" w:cs="Times New Roman"/>
          <w:iCs/>
          <w:sz w:val="24"/>
          <w:szCs w:val="24"/>
          <w:lang w:val="uk-UA"/>
        </w:rPr>
        <w:t>бакалавр / спеціаліст / магістр</w:t>
      </w:r>
      <w:r w:rsidRPr="00F83CD7">
        <w:rPr>
          <w:rFonts w:ascii="Times New Roman" w:eastAsia="Times New Roman" w:hAnsi="Times New Roman" w:cs="Times New Roman"/>
          <w:sz w:val="24"/>
          <w:szCs w:val="24"/>
          <w:lang w:val="uk-UA"/>
        </w:rPr>
        <w:t>;</w:t>
      </w:r>
    </w:p>
    <w:p w:rsidR="00CA287C" w:rsidRPr="00CA287C" w:rsidRDefault="00CA287C" w:rsidP="00CA287C">
      <w:pPr>
        <w:numPr>
          <w:ilvl w:val="0"/>
          <w:numId w:val="23"/>
        </w:numPr>
        <w:spacing w:line="240" w:lineRule="auto"/>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 xml:space="preserve">педагогічне звання </w:t>
      </w:r>
      <w:r w:rsidRPr="00CA287C">
        <w:rPr>
          <w:rFonts w:ascii="Times New Roman" w:eastAsia="Times New Roman" w:hAnsi="Times New Roman" w:cs="Times New Roman"/>
          <w:bCs/>
          <w:sz w:val="24"/>
          <w:szCs w:val="24"/>
          <w:lang w:val="uk-UA"/>
        </w:rPr>
        <w:t>«вихователь-методист»</w:t>
      </w:r>
      <w:r w:rsidRPr="00CA287C">
        <w:rPr>
          <w:rFonts w:ascii="Times New Roman" w:eastAsia="Times New Roman" w:hAnsi="Times New Roman" w:cs="Times New Roman"/>
          <w:sz w:val="24"/>
          <w:szCs w:val="24"/>
          <w:lang w:val="uk-UA"/>
        </w:rPr>
        <w:t xml:space="preserve"> мають </w:t>
      </w:r>
      <w:r w:rsidRPr="00CA287C">
        <w:rPr>
          <w:rFonts w:ascii="Times New Roman" w:eastAsia="Times New Roman" w:hAnsi="Times New Roman" w:cs="Times New Roman"/>
          <w:bCs/>
          <w:sz w:val="24"/>
          <w:szCs w:val="24"/>
          <w:lang w:val="uk-UA"/>
        </w:rPr>
        <w:t>3 особи (4,6 %)</w:t>
      </w:r>
      <w:r w:rsidRPr="00CA287C">
        <w:rPr>
          <w:rFonts w:ascii="Times New Roman" w:eastAsia="Times New Roman" w:hAnsi="Times New Roman" w:cs="Times New Roman"/>
          <w:sz w:val="24"/>
          <w:szCs w:val="24"/>
          <w:lang w:val="uk-UA"/>
        </w:rPr>
        <w:t>.</w:t>
      </w:r>
    </w:p>
    <w:p w:rsidR="00F83CD7" w:rsidRDefault="00CA287C" w:rsidP="00F83CD7">
      <w:pPr>
        <w:spacing w:line="240" w:lineRule="auto"/>
        <w:ind w:firstLine="567"/>
        <w:jc w:val="both"/>
        <w:rPr>
          <w:rFonts w:ascii="Times New Roman" w:eastAsia="Times New Roman" w:hAnsi="Times New Roman" w:cs="Times New Roman"/>
          <w:sz w:val="24"/>
          <w:szCs w:val="24"/>
          <w:lang w:val="uk-UA"/>
        </w:rPr>
      </w:pPr>
      <w:r w:rsidRPr="00CA287C">
        <w:rPr>
          <w:rFonts w:ascii="Times New Roman" w:eastAsia="Times New Roman" w:hAnsi="Times New Roman" w:cs="Times New Roman"/>
          <w:sz w:val="24"/>
          <w:szCs w:val="24"/>
          <w:lang w:val="uk-UA"/>
        </w:rPr>
        <w:t>Наведені показники свідчать про сформований кадровий ресурс у сфері дошкільної освіти та визначають її як перспективний напрям для профорієнтаційної роботи, зокрема щодо популяризації професій вихователя, асистента вихователя та фахівців інклюзивного освітнього середовища.</w:t>
      </w:r>
    </w:p>
    <w:p w:rsidR="00B4488C" w:rsidRDefault="008028DE" w:rsidP="00B4488C">
      <w:pPr>
        <w:pStyle w:val="2"/>
        <w:spacing w:before="0" w:after="0" w:line="240" w:lineRule="auto"/>
        <w:ind w:firstLine="56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Ін</w:t>
      </w:r>
      <w:r w:rsidR="00B4488C">
        <w:rPr>
          <w:rFonts w:ascii="Times New Roman" w:eastAsia="Times New Roman" w:hAnsi="Times New Roman" w:cs="Times New Roman"/>
          <w:b/>
          <w:bCs/>
          <w:sz w:val="24"/>
          <w:szCs w:val="24"/>
        </w:rPr>
        <w:t>фраструктура для дітей і молоді</w:t>
      </w:r>
    </w:p>
    <w:p w:rsidR="00B4488C" w:rsidRPr="00B4488C" w:rsidRDefault="00B4488C" w:rsidP="00B4488C">
      <w:pPr>
        <w:pStyle w:val="2"/>
        <w:spacing w:before="0" w:after="0"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На території Донецької селищної територіальної громади функціонує мережа об’єктів культурної, спортивної та освітньо-дозвіллєвої інфраструктури, що використовується для організації діяльності дітей, підлітків і молоді та формує середовище для ознайомлення з різними видами соціальної, творчої, спортивної й організаційної діяльності.</w:t>
      </w:r>
    </w:p>
    <w:p w:rsidR="00B4488C" w:rsidRPr="00B4488C"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Одним із базових культурних осередків громади є </w:t>
      </w:r>
      <w:r w:rsidRPr="001027B4">
        <w:rPr>
          <w:rFonts w:ascii="Times New Roman" w:eastAsia="Times New Roman" w:hAnsi="Times New Roman" w:cs="Times New Roman"/>
          <w:bCs/>
          <w:sz w:val="24"/>
          <w:szCs w:val="24"/>
          <w:lang w:val="uk-UA"/>
        </w:rPr>
        <w:t>Будинок культури газопромислового управління «Шебелинкагазвидобування» АТ «Укргазвидобування»</w:t>
      </w:r>
      <w:r w:rsidRPr="00B4488C">
        <w:rPr>
          <w:rFonts w:ascii="Times New Roman" w:eastAsia="Times New Roman" w:hAnsi="Times New Roman" w:cs="Times New Roman"/>
          <w:sz w:val="24"/>
          <w:szCs w:val="24"/>
          <w:lang w:val="uk-UA"/>
        </w:rPr>
        <w:t>, розташований у с</w:t>
      </w:r>
      <w:r w:rsidR="001027B4" w:rsidRPr="001027B4">
        <w:rPr>
          <w:rFonts w:ascii="Times New Roman" w:eastAsia="Times New Roman" w:hAnsi="Times New Roman" w:cs="Times New Roman"/>
          <w:sz w:val="24"/>
          <w:szCs w:val="24"/>
          <w:lang w:val="uk-UA"/>
        </w:rPr>
        <w:t>елищі</w:t>
      </w:r>
      <w:r w:rsidRPr="00B4488C">
        <w:rPr>
          <w:rFonts w:ascii="Times New Roman" w:eastAsia="Times New Roman" w:hAnsi="Times New Roman" w:cs="Times New Roman"/>
          <w:sz w:val="24"/>
          <w:szCs w:val="24"/>
          <w:lang w:val="uk-UA"/>
        </w:rPr>
        <w:t xml:space="preserve"> Донець. Заклад використовується для проведення культурно-мистецьких заходів, творчих подій, концертних програм, тематичних зустрічей та інших активностей за участю дітей і молоді. У межах його функціонування забезпечується залучення учасників до напрямів, пов’язаних із культурною діяльністю, творчими професіями, організацією заходів, сценічною діяльністю та публічною комунікацією.</w:t>
      </w:r>
    </w:p>
    <w:p w:rsidR="00B4488C" w:rsidRPr="00B4488C"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Реалізацію державної та місцевої політики у сфері культури, молодіжної роботи та спорту забезпечує </w:t>
      </w:r>
      <w:r w:rsidRPr="00BC05C6">
        <w:rPr>
          <w:rFonts w:ascii="Times New Roman" w:eastAsia="Times New Roman" w:hAnsi="Times New Roman" w:cs="Times New Roman"/>
          <w:bCs/>
          <w:sz w:val="24"/>
          <w:szCs w:val="24"/>
          <w:lang w:val="uk-UA"/>
        </w:rPr>
        <w:t>відділ культури, молоді та спорту Донецької селищної ради</w:t>
      </w:r>
      <w:r w:rsidRPr="00B4488C">
        <w:rPr>
          <w:rFonts w:ascii="Times New Roman" w:eastAsia="Times New Roman" w:hAnsi="Times New Roman" w:cs="Times New Roman"/>
          <w:sz w:val="24"/>
          <w:szCs w:val="24"/>
          <w:lang w:val="uk-UA"/>
        </w:rPr>
        <w:t>. Через підпорядковані заклади та у співпраці із закладами освіти громади організовуються культурно-освітні, соціальні, інформаційні та молодіжні заходи для дітей і підлітків. Зазначена діяльність створює умови для набуття досвіду участі в громадських ініціативах, командній роботі, комунікаційних та організаційних процесах, пов’язаних із сферою культури, молодіжної політики та соціальної роботи.</w:t>
      </w:r>
    </w:p>
    <w:p w:rsidR="00B4488C" w:rsidRPr="00B4488C"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Окремим простором для роботи з молоддю у громаді є </w:t>
      </w:r>
      <w:r w:rsidRPr="00BC05C6">
        <w:rPr>
          <w:rFonts w:ascii="Times New Roman" w:eastAsia="Times New Roman" w:hAnsi="Times New Roman" w:cs="Times New Roman"/>
          <w:bCs/>
          <w:sz w:val="24"/>
          <w:szCs w:val="24"/>
          <w:lang w:val="uk-UA"/>
        </w:rPr>
        <w:t>молодіжний простір (</w:t>
      </w:r>
      <w:proofErr w:type="spellStart"/>
      <w:r w:rsidRPr="00BC05C6">
        <w:rPr>
          <w:rFonts w:ascii="Times New Roman" w:eastAsia="Times New Roman" w:hAnsi="Times New Roman" w:cs="Times New Roman"/>
          <w:bCs/>
          <w:sz w:val="24"/>
          <w:szCs w:val="24"/>
          <w:lang w:val="uk-UA"/>
        </w:rPr>
        <w:t>хаб</w:t>
      </w:r>
      <w:proofErr w:type="spellEnd"/>
      <w:r w:rsidRPr="00BC05C6">
        <w:rPr>
          <w:rFonts w:ascii="Times New Roman" w:eastAsia="Times New Roman" w:hAnsi="Times New Roman" w:cs="Times New Roman"/>
          <w:bCs/>
          <w:sz w:val="24"/>
          <w:szCs w:val="24"/>
          <w:lang w:val="uk-UA"/>
        </w:rPr>
        <w:t>) «Freedom»</w:t>
      </w:r>
      <w:r w:rsidRPr="00B4488C">
        <w:rPr>
          <w:rFonts w:ascii="Times New Roman" w:eastAsia="Times New Roman" w:hAnsi="Times New Roman" w:cs="Times New Roman"/>
          <w:sz w:val="24"/>
          <w:szCs w:val="24"/>
          <w:lang w:val="uk-UA"/>
        </w:rPr>
        <w:t xml:space="preserve">, який використовується для проведення зустрічей, тренінгів, освітніх та інформаційних заходів для підлітків і молоді. Діяльність </w:t>
      </w:r>
      <w:proofErr w:type="spellStart"/>
      <w:r w:rsidRPr="00B4488C">
        <w:rPr>
          <w:rFonts w:ascii="Times New Roman" w:eastAsia="Times New Roman" w:hAnsi="Times New Roman" w:cs="Times New Roman"/>
          <w:sz w:val="24"/>
          <w:szCs w:val="24"/>
          <w:lang w:val="uk-UA"/>
        </w:rPr>
        <w:t>хабу</w:t>
      </w:r>
      <w:proofErr w:type="spellEnd"/>
      <w:r w:rsidRPr="00B4488C">
        <w:rPr>
          <w:rFonts w:ascii="Times New Roman" w:eastAsia="Times New Roman" w:hAnsi="Times New Roman" w:cs="Times New Roman"/>
          <w:sz w:val="24"/>
          <w:szCs w:val="24"/>
          <w:lang w:val="uk-UA"/>
        </w:rPr>
        <w:t xml:space="preserve"> орієнтована на неформальну освіту, розвиток громадянських, соціальних та комунікативних навичок, а також на ознайомлення молоді з практиками молодіжної роботи, волонтерської діяльності, </w:t>
      </w:r>
      <w:proofErr w:type="spellStart"/>
      <w:r w:rsidRPr="00B4488C">
        <w:rPr>
          <w:rFonts w:ascii="Times New Roman" w:eastAsia="Times New Roman" w:hAnsi="Times New Roman" w:cs="Times New Roman"/>
          <w:sz w:val="24"/>
          <w:szCs w:val="24"/>
          <w:lang w:val="uk-UA"/>
        </w:rPr>
        <w:t>проєктного</w:t>
      </w:r>
      <w:proofErr w:type="spellEnd"/>
      <w:r w:rsidRPr="00B4488C">
        <w:rPr>
          <w:rFonts w:ascii="Times New Roman" w:eastAsia="Times New Roman" w:hAnsi="Times New Roman" w:cs="Times New Roman"/>
          <w:sz w:val="24"/>
          <w:szCs w:val="24"/>
          <w:lang w:val="uk-UA"/>
        </w:rPr>
        <w:t xml:space="preserve"> менеджменту та ініціатив громадського спрямування.</w:t>
      </w:r>
    </w:p>
    <w:p w:rsidR="00B4488C" w:rsidRPr="00B4488C"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Робота з дітьми та молоддю також здійснюється на базі </w:t>
      </w:r>
      <w:r w:rsidRPr="00BC05C6">
        <w:rPr>
          <w:rFonts w:ascii="Times New Roman" w:eastAsia="Times New Roman" w:hAnsi="Times New Roman" w:cs="Times New Roman"/>
          <w:bCs/>
          <w:sz w:val="24"/>
          <w:szCs w:val="24"/>
          <w:lang w:val="uk-UA"/>
        </w:rPr>
        <w:t>закладів загальної середньої освіти громади</w:t>
      </w:r>
      <w:r w:rsidRPr="00B4488C">
        <w:rPr>
          <w:rFonts w:ascii="Times New Roman" w:eastAsia="Times New Roman" w:hAnsi="Times New Roman" w:cs="Times New Roman"/>
          <w:sz w:val="24"/>
          <w:szCs w:val="24"/>
          <w:lang w:val="uk-UA"/>
        </w:rPr>
        <w:t>, де реалізуються виховні та позаурочні форми діяльності культурного, спортивного та соціального спрямування. Такі форми роботи забезпечують можливість ознайомлення здобувачів освіти з різними напрямами діяльності, у тому числі творчими, спортивними, організаційними та соціальними.</w:t>
      </w:r>
    </w:p>
    <w:p w:rsidR="002E060E"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Спортивна інфраструктура громади представлена, зокрема, </w:t>
      </w:r>
      <w:r w:rsidRPr="00BC05C6">
        <w:rPr>
          <w:rFonts w:ascii="Times New Roman" w:eastAsia="Times New Roman" w:hAnsi="Times New Roman" w:cs="Times New Roman"/>
          <w:bCs/>
          <w:sz w:val="24"/>
          <w:szCs w:val="24"/>
          <w:lang w:val="uk-UA"/>
        </w:rPr>
        <w:t>фізкультурно-оздоровчим комплексом «Газовик»</w:t>
      </w:r>
      <w:r w:rsidRPr="00B4488C">
        <w:rPr>
          <w:rFonts w:ascii="Times New Roman" w:eastAsia="Times New Roman" w:hAnsi="Times New Roman" w:cs="Times New Roman"/>
          <w:sz w:val="24"/>
          <w:szCs w:val="24"/>
          <w:lang w:val="uk-UA"/>
        </w:rPr>
        <w:t>, а також іншими спортивними осередками, що функціонують на території с</w:t>
      </w:r>
      <w:r w:rsidR="00BC05C6">
        <w:rPr>
          <w:rFonts w:ascii="Times New Roman" w:eastAsia="Times New Roman" w:hAnsi="Times New Roman" w:cs="Times New Roman"/>
          <w:sz w:val="24"/>
          <w:szCs w:val="24"/>
          <w:lang w:val="uk-UA"/>
        </w:rPr>
        <w:t>елища</w:t>
      </w:r>
      <w:r w:rsidRPr="00B4488C">
        <w:rPr>
          <w:rFonts w:ascii="Times New Roman" w:eastAsia="Times New Roman" w:hAnsi="Times New Roman" w:cs="Times New Roman"/>
          <w:sz w:val="24"/>
          <w:szCs w:val="24"/>
          <w:lang w:val="uk-UA"/>
        </w:rPr>
        <w:t xml:space="preserve"> Донець. Зазначені об’єкти використовуються для проведення тренувальних занять і спортивних заходів за участю дітей та молоді, пов’язаних із розвитком фізичної культури, спорту та командної взаємодії. Окремо на території громади функціонує </w:t>
      </w:r>
      <w:r w:rsidR="002E060E" w:rsidRPr="002E060E">
        <w:rPr>
          <w:rFonts w:ascii="Times New Roman" w:eastAsia="Times New Roman" w:hAnsi="Times New Roman" w:cs="Times New Roman"/>
          <w:sz w:val="24"/>
          <w:szCs w:val="24"/>
          <w:lang w:val="uk-UA"/>
        </w:rPr>
        <w:t>Комунальний заклад "Спортивний клуб "Чемпіон" Донецької селищної</w:t>
      </w:r>
      <w:r w:rsidR="002E060E">
        <w:rPr>
          <w:rFonts w:ascii="Times New Roman" w:eastAsia="Times New Roman" w:hAnsi="Times New Roman" w:cs="Times New Roman"/>
          <w:sz w:val="24"/>
          <w:szCs w:val="24"/>
          <w:lang w:val="uk-UA"/>
        </w:rPr>
        <w:t>.</w:t>
      </w:r>
    </w:p>
    <w:p w:rsidR="00B4488C" w:rsidRPr="00B4488C" w:rsidRDefault="00B4488C" w:rsidP="00B4488C">
      <w:pPr>
        <w:spacing w:line="240" w:lineRule="auto"/>
        <w:ind w:firstLine="567"/>
        <w:jc w:val="both"/>
        <w:rPr>
          <w:rFonts w:ascii="Times New Roman" w:eastAsia="Times New Roman" w:hAnsi="Times New Roman" w:cs="Times New Roman"/>
          <w:sz w:val="24"/>
          <w:szCs w:val="24"/>
          <w:lang w:val="uk-UA"/>
        </w:rPr>
      </w:pPr>
      <w:r w:rsidRPr="00B4488C">
        <w:rPr>
          <w:rFonts w:ascii="Times New Roman" w:eastAsia="Times New Roman" w:hAnsi="Times New Roman" w:cs="Times New Roman"/>
          <w:sz w:val="24"/>
          <w:szCs w:val="24"/>
          <w:lang w:val="uk-UA"/>
        </w:rPr>
        <w:t xml:space="preserve">Інформація про діяльність закладів культури, спортивних об’єктів, молодіжного простору та заходи для дітей і молоді систематично оприлюднюється на </w:t>
      </w:r>
      <w:r w:rsidRPr="002E060E">
        <w:rPr>
          <w:rFonts w:ascii="Times New Roman" w:eastAsia="Times New Roman" w:hAnsi="Times New Roman" w:cs="Times New Roman"/>
          <w:bCs/>
          <w:sz w:val="24"/>
          <w:szCs w:val="24"/>
          <w:lang w:val="uk-UA"/>
        </w:rPr>
        <w:t>офіційному вебсайті Донецької селищної ради</w:t>
      </w:r>
      <w:r w:rsidRPr="00B4488C">
        <w:rPr>
          <w:rFonts w:ascii="Times New Roman" w:eastAsia="Times New Roman" w:hAnsi="Times New Roman" w:cs="Times New Roman"/>
          <w:sz w:val="24"/>
          <w:szCs w:val="24"/>
          <w:lang w:val="uk-UA"/>
        </w:rPr>
        <w:t xml:space="preserve"> та на її офіційних сторінках у соціальних мережах, що забезпечує відкритий доступ до відомостей про наявні можливості участі дітей і молоді в різних видах діяльності.</w:t>
      </w:r>
    </w:p>
    <w:p w:rsidR="002F3A3D" w:rsidRDefault="008028DE">
      <w:pPr>
        <w:pStyle w:val="a3"/>
        <w:widowControl w:val="0"/>
        <w:spacing w:line="240" w:lineRule="auto"/>
        <w:rPr>
          <w:rFonts w:ascii="Times New Roman" w:eastAsia="Times New Roman" w:hAnsi="Times New Roman" w:cs="Times New Roman"/>
          <w:b/>
          <w:bCs/>
          <w:color w:val="1C4587"/>
          <w:sz w:val="26"/>
          <w:szCs w:val="26"/>
        </w:rPr>
      </w:pPr>
      <w:bookmarkStart w:id="2" w:name="_wwuajqj05gie" w:colFirst="0" w:colLast="0"/>
      <w:bookmarkEnd w:id="2"/>
      <w:r>
        <w:rPr>
          <w:rFonts w:ascii="Times New Roman" w:eastAsia="Times New Roman" w:hAnsi="Times New Roman" w:cs="Times New Roman"/>
          <w:b/>
          <w:bCs/>
          <w:color w:val="1C4587"/>
          <w:sz w:val="26"/>
          <w:szCs w:val="26"/>
        </w:rPr>
        <w:lastRenderedPageBreak/>
        <w:t>СОЦІАЛЬНО-ДЕМОГРАФІЧНИЙ ПОРТРЕТ РЕСПОНДЕНТІВ</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Кількість респондентів із різних цільових аудиторій, які взяли участь в опитуванні, наведено в табл. 1.</w:t>
      </w:r>
    </w:p>
    <w:p w:rsidR="002F3A3D" w:rsidRDefault="002F3A3D">
      <w:pPr>
        <w:spacing w:line="240" w:lineRule="auto"/>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 Кількість респондентів різних цільових аудиторій</w:t>
      </w:r>
    </w:p>
    <w:tbl>
      <w:tblPr>
        <w:tblStyle w:val="a6"/>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0"/>
        <w:gridCol w:w="7050"/>
        <w:gridCol w:w="1380"/>
      </w:tblGrid>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Цільова група</w:t>
            </w:r>
          </w:p>
        </w:tc>
        <w:tc>
          <w:tcPr>
            <w:tcW w:w="138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Кількість учасників опитування</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50" w:type="dxa"/>
            <w:shd w:val="clear" w:color="auto" w:fill="auto"/>
            <w:tcMar>
              <w:top w:w="100" w:type="dxa"/>
              <w:left w:w="100" w:type="dxa"/>
              <w:bottom w:w="100" w:type="dxa"/>
              <w:right w:w="100" w:type="dxa"/>
            </w:tcMar>
          </w:tcPr>
          <w:p w:rsidR="002F3A3D" w:rsidRPr="00550E83" w:rsidRDefault="008028DE">
            <w:pPr>
              <w:widowControl w:val="0"/>
              <w:spacing w:line="240" w:lineRule="auto"/>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rPr>
              <w:t>Представники органів місцевого самоврядування (голова, заступники, депутати, керівник органу управління освітою)</w:t>
            </w:r>
          </w:p>
        </w:tc>
        <w:tc>
          <w:tcPr>
            <w:tcW w:w="1380" w:type="dxa"/>
            <w:shd w:val="clear" w:color="auto" w:fill="auto"/>
            <w:tcMar>
              <w:top w:w="100" w:type="dxa"/>
              <w:left w:w="100" w:type="dxa"/>
              <w:bottom w:w="100" w:type="dxa"/>
              <w:right w:w="100" w:type="dxa"/>
            </w:tcMar>
          </w:tcPr>
          <w:p w:rsidR="002F3A3D" w:rsidRDefault="00550E83" w:rsidP="005544DA">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Керівники та педагогічні працівники закладів загальної середньої та позашкільної освіти</w:t>
            </w:r>
          </w:p>
        </w:tc>
        <w:tc>
          <w:tcPr>
            <w:tcW w:w="1380" w:type="dxa"/>
            <w:shd w:val="clear" w:color="auto" w:fill="auto"/>
            <w:tcMar>
              <w:top w:w="100" w:type="dxa"/>
              <w:left w:w="100" w:type="dxa"/>
              <w:bottom w:w="100" w:type="dxa"/>
              <w:right w:w="100" w:type="dxa"/>
            </w:tcMar>
          </w:tcPr>
          <w:p w:rsidR="002F3A3D" w:rsidRPr="00550E83" w:rsidRDefault="00A70576" w:rsidP="005544DA">
            <w:pPr>
              <w:widowControl w:val="0"/>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w:t>
            </w:r>
            <w:r w:rsidR="00550E83">
              <w:rPr>
                <w:rFonts w:ascii="Times New Roman" w:eastAsia="Times New Roman" w:hAnsi="Times New Roman" w:cs="Times New Roman"/>
                <w:sz w:val="20"/>
                <w:szCs w:val="20"/>
                <w:lang w:val="uk-UA"/>
              </w:rPr>
              <w:t>97</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Батьки учнів закладів загальної середньої освіти віком 10–18 років</w:t>
            </w:r>
          </w:p>
        </w:tc>
        <w:tc>
          <w:tcPr>
            <w:tcW w:w="1380" w:type="dxa"/>
            <w:shd w:val="clear" w:color="auto" w:fill="auto"/>
            <w:tcMar>
              <w:top w:w="100" w:type="dxa"/>
              <w:left w:w="100" w:type="dxa"/>
              <w:bottom w:w="100" w:type="dxa"/>
              <w:right w:w="100" w:type="dxa"/>
            </w:tcMar>
          </w:tcPr>
          <w:p w:rsidR="002F3A3D" w:rsidRPr="00A70576" w:rsidRDefault="00A70576" w:rsidP="005544DA">
            <w:pPr>
              <w:widowControl w:val="0"/>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602</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Роботодавці (керівники місцевих державних, комунальних і приватних підприємств, установ та організацій)</w:t>
            </w:r>
          </w:p>
        </w:tc>
        <w:tc>
          <w:tcPr>
            <w:tcW w:w="1380" w:type="dxa"/>
            <w:shd w:val="clear" w:color="auto" w:fill="auto"/>
            <w:tcMar>
              <w:top w:w="100" w:type="dxa"/>
              <w:left w:w="100" w:type="dxa"/>
              <w:bottom w:w="100" w:type="dxa"/>
              <w:right w:w="100" w:type="dxa"/>
            </w:tcMar>
          </w:tcPr>
          <w:p w:rsidR="002F3A3D" w:rsidRPr="00A70576" w:rsidRDefault="00A70576" w:rsidP="005544DA">
            <w:pPr>
              <w:widowControl w:val="0"/>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6</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Учні закладів загальної середньої освіти віком 10–18 років</w:t>
            </w:r>
          </w:p>
        </w:tc>
        <w:tc>
          <w:tcPr>
            <w:tcW w:w="1380" w:type="dxa"/>
            <w:shd w:val="clear" w:color="auto" w:fill="auto"/>
            <w:tcMar>
              <w:top w:w="100" w:type="dxa"/>
              <w:left w:w="100" w:type="dxa"/>
              <w:bottom w:w="100" w:type="dxa"/>
              <w:right w:w="100" w:type="dxa"/>
            </w:tcMar>
          </w:tcPr>
          <w:p w:rsidR="002F3A3D" w:rsidRPr="00A70576" w:rsidRDefault="00A70576" w:rsidP="005544DA">
            <w:pPr>
              <w:widowControl w:val="0"/>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531</w:t>
            </w:r>
          </w:p>
        </w:tc>
      </w:tr>
      <w:tr w:rsidR="002F3A3D">
        <w:tc>
          <w:tcPr>
            <w:tcW w:w="570" w:type="dxa"/>
            <w:shd w:val="clear" w:color="auto" w:fill="auto"/>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050" w:type="dxa"/>
            <w:shd w:val="clear" w:color="auto" w:fill="auto"/>
            <w:tcMar>
              <w:top w:w="100" w:type="dxa"/>
              <w:left w:w="100" w:type="dxa"/>
              <w:bottom w:w="100" w:type="dxa"/>
              <w:right w:w="100" w:type="dxa"/>
            </w:tcMar>
          </w:tcPr>
          <w:p w:rsidR="002F3A3D" w:rsidRDefault="008028DE">
            <w:pPr>
              <w:widowControl w:v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Випускники ЗЗСО громади (студенти закладів професійної, фахової передвищої та вищої освіти віком 14–22 років)</w:t>
            </w:r>
          </w:p>
        </w:tc>
        <w:tc>
          <w:tcPr>
            <w:tcW w:w="1380" w:type="dxa"/>
            <w:shd w:val="clear" w:color="auto" w:fill="auto"/>
            <w:tcMar>
              <w:top w:w="100" w:type="dxa"/>
              <w:left w:w="100" w:type="dxa"/>
              <w:bottom w:w="100" w:type="dxa"/>
              <w:right w:w="100" w:type="dxa"/>
            </w:tcMar>
          </w:tcPr>
          <w:p w:rsidR="002F3A3D" w:rsidRPr="00A70576" w:rsidRDefault="00A70576" w:rsidP="005544DA">
            <w:pPr>
              <w:widowControl w:val="0"/>
              <w:spacing w:line="240" w:lineRule="auto"/>
              <w:jc w:val="center"/>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11</w:t>
            </w:r>
          </w:p>
        </w:tc>
      </w:tr>
    </w:tbl>
    <w:p w:rsidR="002F3A3D" w:rsidRDefault="002F3A3D">
      <w:pPr>
        <w:spacing w:line="240" w:lineRule="auto"/>
        <w:jc w:val="both"/>
        <w:rPr>
          <w:rFonts w:ascii="Times New Roman" w:eastAsia="Times New Roman" w:hAnsi="Times New Roman" w:cs="Times New Roman"/>
          <w:b/>
          <w:bCs/>
          <w:sz w:val="24"/>
          <w:szCs w:val="24"/>
        </w:rPr>
      </w:pPr>
    </w:p>
    <w:p w:rsidR="002F3A3D" w:rsidRDefault="002F3A3D">
      <w:pPr>
        <w:spacing w:line="240" w:lineRule="auto"/>
        <w:jc w:val="both"/>
        <w:rPr>
          <w:rFonts w:ascii="Times New Roman" w:eastAsia="Times New Roman" w:hAnsi="Times New Roman" w:cs="Times New Roman"/>
          <w:color w:val="FF00FF"/>
          <w:sz w:val="24"/>
          <w:szCs w:val="24"/>
        </w:rPr>
      </w:pPr>
    </w:p>
    <w:p w:rsidR="00663E57" w:rsidRDefault="008028DE">
      <w:pPr>
        <w:spacing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rPr>
        <w:t>Характеристика учасників  опитування</w:t>
      </w:r>
      <w:r w:rsidR="00663E57">
        <w:rPr>
          <w:rFonts w:ascii="Times New Roman" w:eastAsia="Times New Roman" w:hAnsi="Times New Roman" w:cs="Times New Roman"/>
          <w:b/>
          <w:bCs/>
          <w:sz w:val="24"/>
          <w:szCs w:val="24"/>
          <w:lang w:val="uk-UA"/>
        </w:rPr>
        <w:t xml:space="preserve"> </w:t>
      </w:r>
    </w:p>
    <w:p w:rsidR="00663E57" w:rsidRDefault="00663E57">
      <w:pPr>
        <w:spacing w:line="240" w:lineRule="auto"/>
        <w:rPr>
          <w:rFonts w:ascii="Times New Roman" w:eastAsia="Times New Roman" w:hAnsi="Times New Roman" w:cs="Times New Roman"/>
          <w:b/>
          <w:bCs/>
          <w:sz w:val="24"/>
          <w:szCs w:val="24"/>
          <w:lang w:val="uk-UA"/>
        </w:rPr>
      </w:pPr>
    </w:p>
    <w:p w:rsidR="002F3A3D" w:rsidRPr="00663E57" w:rsidRDefault="00747101">
      <w:pPr>
        <w:spacing w:line="240" w:lineRule="auto"/>
        <w:rPr>
          <w:rFonts w:ascii="Times New Roman" w:eastAsia="Times New Roman" w:hAnsi="Times New Roman" w:cs="Times New Roman"/>
          <w:b/>
          <w:bCs/>
          <w:sz w:val="24"/>
          <w:szCs w:val="24"/>
          <w:lang w:val="uk-UA"/>
        </w:rPr>
      </w:pPr>
      <w:r>
        <w:rPr>
          <w:rFonts w:ascii="Times New Roman" w:eastAsia="Times New Roman" w:hAnsi="Times New Roman" w:cs="Times New Roman"/>
          <w:b/>
          <w:bCs/>
          <w:sz w:val="24"/>
          <w:szCs w:val="24"/>
          <w:lang w:val="uk-UA"/>
        </w:rPr>
        <w:t>1.</w:t>
      </w:r>
      <w:r w:rsidR="00663E57">
        <w:rPr>
          <w:rFonts w:ascii="Times New Roman" w:eastAsia="Times New Roman" w:hAnsi="Times New Roman" w:cs="Times New Roman"/>
          <w:b/>
          <w:bCs/>
          <w:sz w:val="24"/>
          <w:szCs w:val="24"/>
          <w:lang w:val="uk-UA"/>
        </w:rPr>
        <w:t>Представники органів місцевого самоврядування (голова, заступники, депутати, керівник органу управління освітою)</w:t>
      </w:r>
    </w:p>
    <w:p w:rsidR="002F3A3D" w:rsidRDefault="002F3A3D" w:rsidP="00663E57">
      <w:pPr>
        <w:spacing w:line="240" w:lineRule="auto"/>
        <w:ind w:left="720"/>
        <w:rPr>
          <w:rFonts w:ascii="Times New Roman" w:eastAsia="Times New Roman" w:hAnsi="Times New Roman" w:cs="Times New Roman"/>
          <w:b/>
          <w:bCs/>
          <w:sz w:val="24"/>
          <w:szCs w:val="24"/>
        </w:rPr>
      </w:pPr>
    </w:p>
    <w:p w:rsidR="00663E57" w:rsidRDefault="008028DE" w:rsidP="00663E57">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sidR="00663E57" w:rsidRPr="00663E57">
        <w:rPr>
          <w:rFonts w:ascii="Times New Roman" w:eastAsia="Times New Roman" w:hAnsi="Times New Roman" w:cs="Times New Roman"/>
          <w:sz w:val="24"/>
          <w:szCs w:val="24"/>
        </w:rPr>
        <w:t>Структура вибірки має виражену гендерну асиметрію: жінки — 90,3% (28 осіб), чоловіки — 6,5% (2 особи), не заз</w:t>
      </w:r>
      <w:r w:rsidR="00663E57">
        <w:rPr>
          <w:rFonts w:ascii="Times New Roman" w:eastAsia="Times New Roman" w:hAnsi="Times New Roman" w:cs="Times New Roman"/>
          <w:sz w:val="24"/>
          <w:szCs w:val="24"/>
        </w:rPr>
        <w:t>начили стать — 3,2% (1 особа).</w:t>
      </w:r>
      <w:r w:rsidR="00663E57" w:rsidRPr="00663E57">
        <w:rPr>
          <w:rFonts w:ascii="Times New Roman" w:eastAsia="Times New Roman" w:hAnsi="Times New Roman" w:cs="Times New Roman"/>
          <w:sz w:val="24"/>
          <w:szCs w:val="24"/>
        </w:rPr>
        <w:t xml:space="preserve"> </w:t>
      </w:r>
    </w:p>
    <w:p w:rsidR="002F3A3D" w:rsidRDefault="000E6BC8" w:rsidP="00663E57">
      <w:pPr>
        <w:spacing w:line="240" w:lineRule="auto"/>
        <w:ind w:firstLine="567"/>
        <w:jc w:val="both"/>
        <w:rPr>
          <w:rFonts w:ascii="Times New Roman" w:eastAsia="Times New Roman" w:hAnsi="Times New Roman" w:cs="Times New Roman"/>
          <w:sz w:val="24"/>
          <w:szCs w:val="24"/>
        </w:rPr>
      </w:pPr>
      <w:r>
        <w:rPr>
          <w:noProof/>
          <w:lang w:val="ru-RU"/>
        </w:rPr>
        <w:drawing>
          <wp:anchor distT="0" distB="0" distL="114300" distR="114300" simplePos="0" relativeHeight="251649536" behindDoc="1" locked="0" layoutInCell="1" allowOverlap="1" wp14:anchorId="44B7044A" wp14:editId="3C2C74C2">
            <wp:simplePos x="0" y="0"/>
            <wp:positionH relativeFrom="column">
              <wp:posOffset>53340</wp:posOffset>
            </wp:positionH>
            <wp:positionV relativeFrom="paragraph">
              <wp:posOffset>608371</wp:posOffset>
            </wp:positionV>
            <wp:extent cx="5694045" cy="2205990"/>
            <wp:effectExtent l="19050" t="19050" r="20955" b="22860"/>
            <wp:wrapTight wrapText="bothSides">
              <wp:wrapPolygon edited="0">
                <wp:start x="-72" y="-187"/>
                <wp:lineTo x="-72" y="21637"/>
                <wp:lineTo x="21607" y="21637"/>
                <wp:lineTo x="21607" y="-187"/>
                <wp:lineTo x="-72" y="-187"/>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583" t="46578" r="29785" b="22673"/>
                    <a:stretch/>
                  </pic:blipFill>
                  <pic:spPr bwMode="auto">
                    <a:xfrm>
                      <a:off x="0" y="0"/>
                      <a:ext cx="5694045" cy="22059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E57" w:rsidRPr="00663E57">
        <w:rPr>
          <w:rFonts w:ascii="Times New Roman" w:eastAsia="Times New Roman" w:hAnsi="Times New Roman" w:cs="Times New Roman"/>
          <w:sz w:val="24"/>
          <w:szCs w:val="24"/>
        </w:rPr>
        <w:t>Це означає, що узагальнення результатів (особливо щодо управлінських рішень та пріоритетів у профорієнтації) переважно відображає жіночу підвибірку представників ОМС.</w:t>
      </w:r>
      <w:r w:rsidR="00663E57" w:rsidRPr="00663E57">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w:t>
      </w:r>
      <w:r w:rsidR="00663E57">
        <w:rPr>
          <w:rFonts w:ascii="Times New Roman" w:eastAsia="Times New Roman" w:hAnsi="Times New Roman" w:cs="Times New Roman"/>
          <w:sz w:val="24"/>
          <w:szCs w:val="24"/>
          <w:lang w:val="uk-UA"/>
        </w:rPr>
        <w:t>Рис</w:t>
      </w:r>
      <w:r w:rsidR="008028DE">
        <w:rPr>
          <w:rFonts w:ascii="Times New Roman" w:eastAsia="Times New Roman" w:hAnsi="Times New Roman" w:cs="Times New Roman"/>
          <w:sz w:val="24"/>
          <w:szCs w:val="24"/>
        </w:rPr>
        <w:t xml:space="preserve">. 1). </w:t>
      </w:r>
    </w:p>
    <w:p w:rsidR="002F3A3D" w:rsidRPr="00FE6A17" w:rsidRDefault="008028DE" w:rsidP="00FE6A1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 Розподіл респондентів за статтю</w:t>
      </w:r>
    </w:p>
    <w:p w:rsidR="00743943" w:rsidRPr="00743943" w:rsidRDefault="008028DE" w:rsidP="00743943">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Вік. </w:t>
      </w:r>
      <w:r w:rsidR="00743943" w:rsidRPr="00743943">
        <w:rPr>
          <w:rFonts w:ascii="Times New Roman" w:eastAsia="Times New Roman" w:hAnsi="Times New Roman" w:cs="Times New Roman"/>
          <w:sz w:val="24"/>
          <w:szCs w:val="24"/>
        </w:rPr>
        <w:t xml:space="preserve">Домінує вікова група 36–50 років — 64,5% (20 осіб); до 35 років — 19,4% (6 осіб); 51–65 років — 16,1% (5 осіб). </w:t>
      </w:r>
    </w:p>
    <w:p w:rsidR="002F3A3D" w:rsidRDefault="00743943" w:rsidP="00743943">
      <w:pPr>
        <w:spacing w:line="240" w:lineRule="auto"/>
        <w:ind w:firstLine="567"/>
        <w:jc w:val="both"/>
        <w:rPr>
          <w:rFonts w:ascii="Times New Roman" w:eastAsia="Times New Roman" w:hAnsi="Times New Roman" w:cs="Times New Roman"/>
          <w:b/>
          <w:bCs/>
          <w:sz w:val="24"/>
          <w:szCs w:val="24"/>
        </w:rPr>
      </w:pPr>
      <w:r>
        <w:rPr>
          <w:noProof/>
          <w:lang w:val="ru-RU"/>
        </w:rPr>
        <w:drawing>
          <wp:anchor distT="0" distB="0" distL="114300" distR="114300" simplePos="0" relativeHeight="251656704" behindDoc="1" locked="0" layoutInCell="1" allowOverlap="1" wp14:anchorId="75569D79" wp14:editId="16E4173B">
            <wp:simplePos x="0" y="0"/>
            <wp:positionH relativeFrom="column">
              <wp:posOffset>0</wp:posOffset>
            </wp:positionH>
            <wp:positionV relativeFrom="paragraph">
              <wp:posOffset>764944</wp:posOffset>
            </wp:positionV>
            <wp:extent cx="5735320" cy="2426970"/>
            <wp:effectExtent l="19050" t="19050" r="17780" b="11430"/>
            <wp:wrapTight wrapText="bothSides">
              <wp:wrapPolygon edited="0">
                <wp:start x="-72" y="-170"/>
                <wp:lineTo x="-72" y="21532"/>
                <wp:lineTo x="21595" y="21532"/>
                <wp:lineTo x="21595" y="-170"/>
                <wp:lineTo x="-72" y="-17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6207" t="47131" r="28970" b="11627"/>
                    <a:stretch/>
                  </pic:blipFill>
                  <pic:spPr bwMode="auto">
                    <a:xfrm>
                      <a:off x="0" y="0"/>
                      <a:ext cx="5735320" cy="242697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3943">
        <w:rPr>
          <w:rFonts w:ascii="Times New Roman" w:eastAsia="Times New Roman" w:hAnsi="Times New Roman" w:cs="Times New Roman"/>
          <w:sz w:val="24"/>
          <w:szCs w:val="24"/>
        </w:rPr>
        <w:t xml:space="preserve">Таким чином, вибірка має </w:t>
      </w:r>
      <w:r w:rsidR="004F4643">
        <w:rPr>
          <w:rFonts w:ascii="Times New Roman" w:eastAsia="Times New Roman" w:hAnsi="Times New Roman" w:cs="Times New Roman"/>
          <w:sz w:val="24"/>
          <w:szCs w:val="24"/>
          <w:lang w:val="uk-UA"/>
        </w:rPr>
        <w:t>«</w:t>
      </w:r>
      <w:r w:rsidRPr="00743943">
        <w:rPr>
          <w:rFonts w:ascii="Times New Roman" w:eastAsia="Times New Roman" w:hAnsi="Times New Roman" w:cs="Times New Roman"/>
          <w:sz w:val="24"/>
          <w:szCs w:val="24"/>
        </w:rPr>
        <w:t>ядро</w:t>
      </w:r>
      <w:r w:rsidR="004F4643">
        <w:rPr>
          <w:rFonts w:ascii="Times New Roman" w:eastAsia="Times New Roman" w:hAnsi="Times New Roman" w:cs="Times New Roman"/>
          <w:sz w:val="24"/>
          <w:szCs w:val="24"/>
          <w:lang w:val="uk-UA"/>
        </w:rPr>
        <w:t>»</w:t>
      </w:r>
      <w:r w:rsidRPr="00743943">
        <w:rPr>
          <w:rFonts w:ascii="Times New Roman" w:eastAsia="Times New Roman" w:hAnsi="Times New Roman" w:cs="Times New Roman"/>
          <w:sz w:val="24"/>
          <w:szCs w:val="24"/>
        </w:rPr>
        <w:t xml:space="preserve"> середнього управлінського віку, що зазвичай корелює з практичним досвідом адміністрування та прийняття рішень; молодша група представлена менше, що може знижувати частку “молодіжно-орієнтованих” поглядів у відповідях.</w:t>
      </w:r>
      <w:r w:rsidRPr="00743943">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 xml:space="preserve">(Рис. 2).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 Розподіл респондентів за віком</w:t>
      </w:r>
    </w:p>
    <w:p w:rsidR="00097C71" w:rsidRDefault="00097C71" w:rsidP="00097C71">
      <w:pPr>
        <w:spacing w:line="240" w:lineRule="auto"/>
        <w:ind w:firstLine="567"/>
        <w:jc w:val="both"/>
        <w:rPr>
          <w:rFonts w:ascii="Times New Roman" w:eastAsia="Times New Roman" w:hAnsi="Times New Roman" w:cs="Times New Roman"/>
          <w:b/>
          <w:bCs/>
          <w:sz w:val="24"/>
          <w:szCs w:val="24"/>
        </w:rPr>
      </w:pPr>
    </w:p>
    <w:p w:rsidR="002F3A3D" w:rsidRDefault="00097C71" w:rsidP="00097C71">
      <w:pPr>
        <w:spacing w:line="240" w:lineRule="auto"/>
        <w:ind w:firstLine="567"/>
        <w:jc w:val="both"/>
        <w:rPr>
          <w:rFonts w:ascii="Times New Roman" w:eastAsia="Times New Roman" w:hAnsi="Times New Roman" w:cs="Times New Roman"/>
          <w:sz w:val="24"/>
          <w:szCs w:val="24"/>
        </w:rPr>
      </w:pPr>
      <w:r>
        <w:rPr>
          <w:noProof/>
          <w:lang w:val="ru-RU"/>
        </w:rPr>
        <w:drawing>
          <wp:anchor distT="0" distB="0" distL="114300" distR="114300" simplePos="0" relativeHeight="251657728" behindDoc="1" locked="0" layoutInCell="1" allowOverlap="1" wp14:anchorId="4D632867" wp14:editId="7011D899">
            <wp:simplePos x="0" y="0"/>
            <wp:positionH relativeFrom="column">
              <wp:posOffset>0</wp:posOffset>
            </wp:positionH>
            <wp:positionV relativeFrom="paragraph">
              <wp:posOffset>753110</wp:posOffset>
            </wp:positionV>
            <wp:extent cx="5735320" cy="2400935"/>
            <wp:effectExtent l="19050" t="19050" r="17780" b="18415"/>
            <wp:wrapTight wrapText="bothSides">
              <wp:wrapPolygon edited="0">
                <wp:start x="-72" y="-171"/>
                <wp:lineTo x="-72" y="21594"/>
                <wp:lineTo x="21595" y="21594"/>
                <wp:lineTo x="21595" y="-171"/>
                <wp:lineTo x="-72" y="-171"/>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7300" t="44736" r="22067" b="10140"/>
                    <a:stretch/>
                  </pic:blipFill>
                  <pic:spPr bwMode="auto">
                    <a:xfrm>
                      <a:off x="0" y="0"/>
                      <a:ext cx="5735320" cy="240093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8DE">
        <w:rPr>
          <w:rFonts w:ascii="Times New Roman" w:eastAsia="Times New Roman" w:hAnsi="Times New Roman" w:cs="Times New Roman"/>
          <w:b/>
          <w:bCs/>
          <w:sz w:val="24"/>
          <w:szCs w:val="24"/>
        </w:rPr>
        <w:t xml:space="preserve">Місце проживання.  </w:t>
      </w:r>
      <w:r w:rsidRPr="00097C71">
        <w:rPr>
          <w:rFonts w:ascii="Times New Roman" w:eastAsia="Times New Roman" w:hAnsi="Times New Roman" w:cs="Times New Roman"/>
          <w:sz w:val="24"/>
          <w:szCs w:val="24"/>
        </w:rPr>
        <w:t xml:space="preserve">Отже, вибірка є територіально однорідною, без внутрішнього порівняння “село/місто”, що важливо враховувати при інтерпретації бар’єрів і ресурсних оцінок профорієнтації (вони відображають саме селищний контекст). </w:t>
      </w:r>
      <w:r w:rsidR="008028DE">
        <w:rPr>
          <w:rFonts w:ascii="Times New Roman" w:eastAsia="Times New Roman" w:hAnsi="Times New Roman" w:cs="Times New Roman"/>
          <w:sz w:val="24"/>
          <w:szCs w:val="24"/>
        </w:rPr>
        <w:t xml:space="preserve">(Рис. 3).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 Розподіл респондентів за місцем проживання</w:t>
      </w:r>
    </w:p>
    <w:p w:rsidR="002F3A3D" w:rsidRDefault="002F3A3D">
      <w:pPr>
        <w:widowControl w:val="0"/>
        <w:jc w:val="center"/>
        <w:rPr>
          <w:rFonts w:ascii="Times New Roman" w:eastAsia="Times New Roman" w:hAnsi="Times New Roman" w:cs="Times New Roman"/>
          <w:b/>
          <w:bCs/>
          <w:color w:val="FF0000"/>
          <w:sz w:val="24"/>
          <w:szCs w:val="24"/>
        </w:rPr>
      </w:pPr>
    </w:p>
    <w:p w:rsidR="007619DB" w:rsidRPr="007619DB" w:rsidRDefault="001D009A" w:rsidP="007619DB">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Посада. </w:t>
      </w:r>
      <w:r w:rsidR="007619DB" w:rsidRPr="007619DB">
        <w:rPr>
          <w:rFonts w:ascii="Times New Roman" w:eastAsia="Times New Roman" w:hAnsi="Times New Roman" w:cs="Times New Roman"/>
          <w:sz w:val="24"/>
          <w:szCs w:val="24"/>
        </w:rPr>
        <w:t>Посадова структура учасників опитування характеризується високим рівнем різноманітності та охоплює практично всі ключові напрями діяльності органів місцевого самоврядування — представницький, управлінський, виконавчий та сервісний.</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lastRenderedPageBreak/>
        <w:t xml:space="preserve">Найбільш </w:t>
      </w:r>
      <w:proofErr w:type="spellStart"/>
      <w:r w:rsidRPr="007619DB">
        <w:rPr>
          <w:rFonts w:ascii="Times New Roman" w:eastAsia="Times New Roman" w:hAnsi="Times New Roman" w:cs="Times New Roman"/>
          <w:sz w:val="24"/>
          <w:szCs w:val="24"/>
        </w:rPr>
        <w:t>чисельно</w:t>
      </w:r>
      <w:proofErr w:type="spellEnd"/>
      <w:r w:rsidRPr="007619DB">
        <w:rPr>
          <w:rFonts w:ascii="Times New Roman" w:eastAsia="Times New Roman" w:hAnsi="Times New Roman" w:cs="Times New Roman"/>
          <w:sz w:val="24"/>
          <w:szCs w:val="24"/>
        </w:rPr>
        <w:t xml:space="preserve"> представленою посадовою категорією є депутати місцевої ради — 3 респонденти (9,7%), що забезпечує наявність у вибірці представницького бачення щодо стану та пріоритетів профорієнтаційної роботи в громаді.</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По 2 особи (6,5%) серед респондентів обіймають посади:</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головного спеціаліста;</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провідного спеціаліста;</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провідного спеціаліста (окремо зафіксований варіант написання);</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спеціаліста І категорії;</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адміністратора Центру надання адміністративних послуг (ЦНАП).</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Наявність кількох варіантів ідентичних за змістом посад (зокрема «провідний спеціаліст», «спеціаліст І категорії») свідчить про те, що опитування охопило фахівців різних структурних підрозділів, які виконують аналогічні функції, але працюють у різних галузевих напрямах.</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Інші посади представлені поодинокими відповідями — по 1 респонденту (3,2%) кожна, а саме:</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керівник органу управління освітою (ОУО);</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заступник голови громади;</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начальник Центру надання адміністративних послуг;</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начальник відділу культури, молоді та спорту;</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начальник відділу та депутатка;</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староста;</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головний спеціаліст відділу;</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головний спеціаліст (окремий варіант написання);</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служби у справах дітей;</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відділу;</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І категорії (окремий варіант написання);</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І категорії ВСЗН Донецької селищної ради;</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1 категорії ВСЗН Донецької селищної ради;</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1 категорії відділу;</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І категорії сектору усиновлення, опіки, піклування та розвитку сімейних форм виховання;</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спеціаліст І-категорії відділу ЖКГ ТСБ.</w:t>
      </w:r>
    </w:p>
    <w:p w:rsidR="007619DB" w:rsidRPr="007619DB"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Такий детальний спектр посад демонструє, що до опитування були залучені представники різних галузей муніципального управління — освіти, соціального захисту, культури, молодіжної політики, адміністративних послуг, житлово-комунального господарства, а також представницьких органів.</w:t>
      </w:r>
    </w:p>
    <w:p w:rsidR="002F3A3D" w:rsidRDefault="007619DB" w:rsidP="007619DB">
      <w:pPr>
        <w:spacing w:line="240" w:lineRule="auto"/>
        <w:ind w:firstLine="567"/>
        <w:jc w:val="both"/>
        <w:rPr>
          <w:rFonts w:ascii="Times New Roman" w:eastAsia="Times New Roman" w:hAnsi="Times New Roman" w:cs="Times New Roman"/>
          <w:sz w:val="24"/>
          <w:szCs w:val="24"/>
        </w:rPr>
      </w:pPr>
      <w:r w:rsidRPr="007619DB">
        <w:rPr>
          <w:rFonts w:ascii="Times New Roman" w:eastAsia="Times New Roman" w:hAnsi="Times New Roman" w:cs="Times New Roman"/>
          <w:sz w:val="24"/>
          <w:szCs w:val="24"/>
        </w:rPr>
        <w:t>Посадовий склад респондентів свідчить про те, що оцінювання стану профорієнтаційної роботи в громаді здійснювалося переважно з позиції практиків органів місцевого самоврядування, які безпосередньо залучені до реалізації політик і надання послуг населенню. Саме така структура вибірки забезпечує високу прикладну цінність результатів опитування, оскільки відповіді ґрунтуються на щоденному професійному досвіді, реальних управлінських обмеженнях і практичних можливостях впровадження системи профорієнтації дітей та підлітків на рівні територіальної громади.</w:t>
      </w:r>
      <w:r w:rsidRPr="007619DB">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 xml:space="preserve">(Рис. 4). </w:t>
      </w:r>
    </w:p>
    <w:p w:rsidR="001D009A" w:rsidRDefault="001D009A">
      <w:pPr>
        <w:widowControl w:val="0"/>
        <w:spacing w:before="240"/>
        <w:jc w:val="right"/>
        <w:rPr>
          <w:rFonts w:ascii="Times New Roman" w:eastAsia="Times New Roman" w:hAnsi="Times New Roman" w:cs="Times New Roman"/>
          <w:b/>
          <w:bCs/>
          <w:sz w:val="24"/>
          <w:szCs w:val="24"/>
        </w:rPr>
      </w:pPr>
    </w:p>
    <w:p w:rsidR="007619DB" w:rsidRDefault="007619DB">
      <w:pPr>
        <w:widowControl w:val="0"/>
        <w:spacing w:before="240"/>
        <w:jc w:val="right"/>
        <w:rPr>
          <w:rFonts w:ascii="Times New Roman" w:eastAsia="Times New Roman" w:hAnsi="Times New Roman" w:cs="Times New Roman"/>
          <w:b/>
          <w:bCs/>
          <w:sz w:val="24"/>
          <w:szCs w:val="24"/>
        </w:rPr>
      </w:pPr>
    </w:p>
    <w:p w:rsidR="002F3A3D" w:rsidRDefault="007619DB">
      <w:pPr>
        <w:widowControl w:val="0"/>
        <w:spacing w:before="240"/>
        <w:jc w:val="right"/>
        <w:rPr>
          <w:rFonts w:ascii="Times New Roman" w:eastAsia="Times New Roman" w:hAnsi="Times New Roman" w:cs="Times New Roman"/>
          <w:sz w:val="24"/>
          <w:szCs w:val="24"/>
        </w:rPr>
      </w:pPr>
      <w:r>
        <w:rPr>
          <w:noProof/>
          <w:lang w:val="ru-RU"/>
        </w:rPr>
        <w:lastRenderedPageBreak/>
        <w:drawing>
          <wp:anchor distT="0" distB="0" distL="114300" distR="114300" simplePos="0" relativeHeight="251665920" behindDoc="1" locked="0" layoutInCell="1" allowOverlap="1" wp14:anchorId="1FC1B73B" wp14:editId="659F1BA3">
            <wp:simplePos x="0" y="0"/>
            <wp:positionH relativeFrom="column">
              <wp:posOffset>178539</wp:posOffset>
            </wp:positionH>
            <wp:positionV relativeFrom="paragraph">
              <wp:posOffset>53591</wp:posOffset>
            </wp:positionV>
            <wp:extent cx="5668610" cy="2364959"/>
            <wp:effectExtent l="19050" t="19050" r="27940" b="16510"/>
            <wp:wrapTight wrapText="bothSides">
              <wp:wrapPolygon edited="0">
                <wp:start x="-73" y="-174"/>
                <wp:lineTo x="-73" y="21577"/>
                <wp:lineTo x="21634" y="21577"/>
                <wp:lineTo x="21634" y="-174"/>
                <wp:lineTo x="-73" y="-174"/>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3408" t="41791" r="19739" b="16043"/>
                    <a:stretch/>
                  </pic:blipFill>
                  <pic:spPr bwMode="auto">
                    <a:xfrm>
                      <a:off x="0" y="0"/>
                      <a:ext cx="5668610" cy="2364959"/>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8DE">
        <w:rPr>
          <w:rFonts w:ascii="Times New Roman" w:eastAsia="Times New Roman" w:hAnsi="Times New Roman" w:cs="Times New Roman"/>
          <w:b/>
          <w:bCs/>
          <w:sz w:val="24"/>
          <w:szCs w:val="24"/>
        </w:rPr>
        <w:t>Рисунок 4. Розподіл респондентів за посадою</w:t>
      </w:r>
    </w:p>
    <w:p w:rsidR="002F3A3D" w:rsidRDefault="002F3A3D">
      <w:pPr>
        <w:widowControl w:val="0"/>
        <w:jc w:val="center"/>
        <w:rPr>
          <w:rFonts w:ascii="Times New Roman" w:eastAsia="Times New Roman" w:hAnsi="Times New Roman" w:cs="Times New Roman"/>
          <w:b/>
          <w:bCs/>
          <w:color w:val="FF0000"/>
          <w:sz w:val="24"/>
          <w:szCs w:val="24"/>
        </w:rPr>
      </w:pPr>
    </w:p>
    <w:p w:rsidR="00B51010" w:rsidRDefault="008028DE" w:rsidP="00B5101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Виконання ролі в межах в межах національного пілотування системи профорієнтації дітей та підлітків. </w:t>
      </w:r>
      <w:r>
        <w:rPr>
          <w:rFonts w:ascii="Times New Roman" w:eastAsia="Times New Roman" w:hAnsi="Times New Roman" w:cs="Times New Roman"/>
          <w:sz w:val="24"/>
          <w:szCs w:val="24"/>
        </w:rPr>
        <w:t xml:space="preserve"> </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За результатами опитування 1 респондент (3,2%) зазначив виконання ролі кар’єрного координатора громади в межах національного пілотування системи профорієнтації дітей та підлітків, тоді як 30 респондентів (96,</w:t>
      </w:r>
      <w:r w:rsidR="0023292D">
        <w:rPr>
          <w:rFonts w:ascii="Times New Roman" w:eastAsia="Times New Roman" w:hAnsi="Times New Roman" w:cs="Times New Roman"/>
          <w:sz w:val="24"/>
          <w:szCs w:val="24"/>
          <w:lang w:val="uk-UA"/>
        </w:rPr>
        <w:t>9</w:t>
      </w:r>
      <w:r w:rsidRPr="00B51010">
        <w:rPr>
          <w:rFonts w:ascii="Times New Roman" w:eastAsia="Times New Roman" w:hAnsi="Times New Roman" w:cs="Times New Roman"/>
          <w:sz w:val="24"/>
          <w:szCs w:val="24"/>
        </w:rPr>
        <w:t>%) не виконують жодної з пілотних ролей (ані кар’єрного координатора громади, ані кар’єрного радника у закладах загальної середньої освіти).</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Наявність у вибірці кар’єрного координатора громади є методологічно важливою характеристикою, оскільки забезпечує включення до опитування інституційної точки координації та управлінського супроводу пілотування на рівні територіальної громади. Це дозволяє поєднати у межах дослідження координаційний управлінський погляд із ширшим баченням представників органів місцевого самоврядування, які не залучені до безпосереднього виконання пілотних ролей.</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 xml:space="preserve">Водночас той факт, що переважна більшість респондентів не є виконавцями ролей національного пілотування, означає, що оцінка стану профорієнтаційної роботи у громаді формується насамперед з позиції зовнішнього управлінського та </w:t>
      </w:r>
      <w:proofErr w:type="spellStart"/>
      <w:r w:rsidRPr="00B51010">
        <w:rPr>
          <w:rFonts w:ascii="Times New Roman" w:eastAsia="Times New Roman" w:hAnsi="Times New Roman" w:cs="Times New Roman"/>
          <w:sz w:val="24"/>
          <w:szCs w:val="24"/>
        </w:rPr>
        <w:t>міжсекторального</w:t>
      </w:r>
      <w:proofErr w:type="spellEnd"/>
      <w:r w:rsidRPr="00B51010">
        <w:rPr>
          <w:rFonts w:ascii="Times New Roman" w:eastAsia="Times New Roman" w:hAnsi="Times New Roman" w:cs="Times New Roman"/>
          <w:sz w:val="24"/>
          <w:szCs w:val="24"/>
        </w:rPr>
        <w:t xml:space="preserve"> спостереження. У відповідях респондентів відображено бачення профорієнтації як складової місцевої політики, з акцентом на організаційні умови, міжвідомчу взаємодію, кадрові та ресурсні передумови впровадження.</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З аналітичної точки зору, така структура вибірки дозволяє чітко розмежувати:</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координаційно-методичний рівень (представлений кар’єрним координатором громади),</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та інституційний управлінський рівень (представлений іншими посадовими особами ОМС).</w:t>
      </w:r>
    </w:p>
    <w:p w:rsidR="00B51010" w:rsidRPr="00B51010"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 xml:space="preserve">Це створює цілісну аналітичну рамку для оцінки готовності громади до розширення та </w:t>
      </w:r>
      <w:proofErr w:type="spellStart"/>
      <w:r w:rsidRPr="00B51010">
        <w:rPr>
          <w:rFonts w:ascii="Times New Roman" w:eastAsia="Times New Roman" w:hAnsi="Times New Roman" w:cs="Times New Roman"/>
          <w:sz w:val="24"/>
          <w:szCs w:val="24"/>
        </w:rPr>
        <w:t>інституціоналізації</w:t>
      </w:r>
      <w:proofErr w:type="spellEnd"/>
      <w:r w:rsidRPr="00B51010">
        <w:rPr>
          <w:rFonts w:ascii="Times New Roman" w:eastAsia="Times New Roman" w:hAnsi="Times New Roman" w:cs="Times New Roman"/>
          <w:sz w:val="24"/>
          <w:szCs w:val="24"/>
        </w:rPr>
        <w:t xml:space="preserve"> ролей системи профорієнтації, а також для визначення управлінських рішень, необхідних для подальшого масштабування пілотних практик у закладах освіти.</w:t>
      </w:r>
    </w:p>
    <w:p w:rsidR="002F3A3D" w:rsidRDefault="00B51010" w:rsidP="00B51010">
      <w:pPr>
        <w:spacing w:line="240" w:lineRule="auto"/>
        <w:ind w:firstLine="567"/>
        <w:jc w:val="both"/>
        <w:rPr>
          <w:rFonts w:ascii="Times New Roman" w:eastAsia="Times New Roman" w:hAnsi="Times New Roman" w:cs="Times New Roman"/>
          <w:sz w:val="24"/>
          <w:szCs w:val="24"/>
        </w:rPr>
      </w:pPr>
      <w:r w:rsidRPr="00B51010">
        <w:rPr>
          <w:rFonts w:ascii="Times New Roman" w:eastAsia="Times New Roman" w:hAnsi="Times New Roman" w:cs="Times New Roman"/>
          <w:sz w:val="24"/>
          <w:szCs w:val="24"/>
        </w:rPr>
        <w:t>У контексті національного пілотування результати цього блоку підтверджують, що громада перебуває на етапі формування та управлінського осмислення системи профорієнтації, де роль кар’єрного координатора громади виконує функцію ключової точки розвитку, координації та подальшого залучення інших учасників системи.</w:t>
      </w:r>
      <w:r w:rsidRPr="00B51010">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 xml:space="preserve">(Рис. 5). </w:t>
      </w:r>
    </w:p>
    <w:p w:rsidR="002F3A3D" w:rsidRDefault="0023292D" w:rsidP="004211DA">
      <w:pPr>
        <w:spacing w:line="240" w:lineRule="auto"/>
        <w:jc w:val="right"/>
        <w:rPr>
          <w:rFonts w:ascii="Times New Roman" w:eastAsia="Times New Roman" w:hAnsi="Times New Roman" w:cs="Times New Roman"/>
          <w:b/>
          <w:bCs/>
          <w:sz w:val="24"/>
          <w:szCs w:val="24"/>
        </w:rPr>
      </w:pPr>
      <w:r>
        <w:rPr>
          <w:noProof/>
          <w:lang w:val="ru-RU"/>
        </w:rPr>
        <w:lastRenderedPageBreak/>
        <w:drawing>
          <wp:anchor distT="0" distB="0" distL="114300" distR="114300" simplePos="0" relativeHeight="251666944" behindDoc="1" locked="0" layoutInCell="1" allowOverlap="1">
            <wp:simplePos x="0" y="0"/>
            <wp:positionH relativeFrom="column">
              <wp:posOffset>20955</wp:posOffset>
            </wp:positionH>
            <wp:positionV relativeFrom="paragraph">
              <wp:posOffset>20955</wp:posOffset>
            </wp:positionV>
            <wp:extent cx="5844540" cy="2200910"/>
            <wp:effectExtent l="19050" t="19050" r="22860" b="27940"/>
            <wp:wrapTight wrapText="bothSides">
              <wp:wrapPolygon edited="0">
                <wp:start x="-70" y="-187"/>
                <wp:lineTo x="-70" y="21687"/>
                <wp:lineTo x="21614" y="21687"/>
                <wp:lineTo x="21614" y="-187"/>
                <wp:lineTo x="-70" y="-187"/>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1333" t="37252" r="12653" b="18558"/>
                    <a:stretch/>
                  </pic:blipFill>
                  <pic:spPr bwMode="auto">
                    <a:xfrm>
                      <a:off x="0" y="0"/>
                      <a:ext cx="5844540" cy="22009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8DE">
        <w:rPr>
          <w:rFonts w:ascii="Times New Roman" w:eastAsia="Times New Roman" w:hAnsi="Times New Roman" w:cs="Times New Roman"/>
          <w:b/>
          <w:bCs/>
          <w:sz w:val="24"/>
          <w:szCs w:val="24"/>
        </w:rPr>
        <w:t>Рисунок 5. Роль в межах в межах національного пілотування системи профорієнтації дітей та підлітків</w:t>
      </w:r>
    </w:p>
    <w:p w:rsidR="004211DA" w:rsidRDefault="004211DA" w:rsidP="004211DA">
      <w:pPr>
        <w:spacing w:line="240" w:lineRule="auto"/>
        <w:jc w:val="right"/>
        <w:rPr>
          <w:rFonts w:ascii="Times New Roman" w:eastAsia="Times New Roman" w:hAnsi="Times New Roman" w:cs="Times New Roman"/>
          <w:sz w:val="24"/>
          <w:szCs w:val="24"/>
        </w:rPr>
      </w:pPr>
    </w:p>
    <w:p w:rsidR="00747101" w:rsidRPr="00747101" w:rsidRDefault="00747101" w:rsidP="00747101">
      <w:pPr>
        <w:spacing w:line="240" w:lineRule="auto"/>
        <w:jc w:val="both"/>
        <w:rPr>
          <w:rFonts w:ascii="Times New Roman" w:eastAsia="Times New Roman" w:hAnsi="Times New Roman" w:cs="Times New Roman"/>
          <w:b/>
          <w:sz w:val="24"/>
          <w:szCs w:val="24"/>
          <w:lang w:val="uk-UA"/>
        </w:rPr>
      </w:pPr>
      <w:r w:rsidRPr="00747101">
        <w:rPr>
          <w:rFonts w:ascii="Times New Roman" w:eastAsia="Times New Roman" w:hAnsi="Times New Roman" w:cs="Times New Roman"/>
          <w:b/>
          <w:sz w:val="24"/>
          <w:szCs w:val="24"/>
          <w:lang w:val="uk-UA"/>
        </w:rPr>
        <w:t xml:space="preserve">2. Керівники та педагогічні працівники закладів загальної середньої та позашкільної освіти </w:t>
      </w:r>
    </w:p>
    <w:p w:rsidR="002F3A3D" w:rsidRDefault="002F3A3D">
      <w:pPr>
        <w:spacing w:line="240" w:lineRule="auto"/>
        <w:rPr>
          <w:rFonts w:ascii="Times New Roman" w:eastAsia="Times New Roman" w:hAnsi="Times New Roman" w:cs="Times New Roman"/>
          <w:b/>
          <w:bCs/>
          <w:sz w:val="24"/>
          <w:szCs w:val="24"/>
        </w:rPr>
      </w:pPr>
    </w:p>
    <w:p w:rsidR="00A22ADA" w:rsidRPr="00A22ADA" w:rsidRDefault="008028DE" w:rsidP="00A22ADA">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sidR="00A22ADA" w:rsidRPr="00A22ADA">
        <w:rPr>
          <w:rFonts w:ascii="Times New Roman" w:eastAsia="Times New Roman" w:hAnsi="Times New Roman" w:cs="Times New Roman"/>
          <w:sz w:val="24"/>
          <w:szCs w:val="24"/>
        </w:rPr>
        <w:t xml:space="preserve">У межах опитування </w:t>
      </w:r>
      <w:proofErr w:type="spellStart"/>
      <w:r w:rsidR="00A22ADA" w:rsidRPr="00A22ADA">
        <w:rPr>
          <w:rFonts w:ascii="Times New Roman" w:eastAsia="Times New Roman" w:hAnsi="Times New Roman" w:cs="Times New Roman"/>
          <w:sz w:val="24"/>
          <w:szCs w:val="24"/>
        </w:rPr>
        <w:t>стейкхолдерів</w:t>
      </w:r>
      <w:proofErr w:type="spellEnd"/>
      <w:r w:rsidR="00A22ADA" w:rsidRPr="00A22ADA">
        <w:rPr>
          <w:rFonts w:ascii="Times New Roman" w:eastAsia="Times New Roman" w:hAnsi="Times New Roman" w:cs="Times New Roman"/>
          <w:sz w:val="24"/>
          <w:szCs w:val="24"/>
        </w:rPr>
        <w:t xml:space="preserve"> щодо стану впровадження системи профорієнтації дітей та підлітків у Донецькій селищній територіальній громаді взяли участь 197 респондентів.</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Аналіз розподілу за статтю засвідчив істотну гендерну асиметрію вибірки:</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жінки — 187 осіб (94,9%),</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чоловіки — 10 осіб (5,1%).</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 xml:space="preserve">Такий розподіл є репрезентативним для кадрової структури закладів загальної середньої освіти громади, у яких переважну більшість педагогічних і управлінських посад обіймають жінки. Відтак отримані результати значною мірою відображають жіночу </w:t>
      </w:r>
      <w:proofErr w:type="spellStart"/>
      <w:r w:rsidRPr="00A22ADA">
        <w:rPr>
          <w:rFonts w:ascii="Times New Roman" w:eastAsia="Times New Roman" w:hAnsi="Times New Roman" w:cs="Times New Roman"/>
          <w:sz w:val="24"/>
          <w:szCs w:val="24"/>
        </w:rPr>
        <w:t>управлінсько</w:t>
      </w:r>
      <w:proofErr w:type="spellEnd"/>
      <w:r w:rsidRPr="00A22ADA">
        <w:rPr>
          <w:rFonts w:ascii="Times New Roman" w:eastAsia="Times New Roman" w:hAnsi="Times New Roman" w:cs="Times New Roman"/>
          <w:sz w:val="24"/>
          <w:szCs w:val="24"/>
        </w:rPr>
        <w:t>-педагогічну перспективу щодо стану та проблематики профорієнтаційної роботи.</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Гендерна структура вибірки має важливе значення для інтерпретації результатів опитування. Профорієнтаційна робота в громаді наразі переважно здійснюється педагогічними працівниками жіночої статі, які поєднують освітню, виховну та консультативну функції з профорієнтаційними завданнями. Це зумовлює акцент у відповідях на педагогічно-психологічні аспекти профорієнтації, питання ресурсного забезпечення, навантаження та нестачі спеціалізованих кадрів.</w:t>
      </w:r>
    </w:p>
    <w:p w:rsidR="00A22ADA" w:rsidRPr="00A22ADA"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Водночас низька представленість чоловіків у вибірці опосередковано вказує на обмежену участь чоловіків-фахівців у системній профорієнтаційній діяльності в закладах освіти громади, що може впливати на спектр професійних рольових моделей, доступних для учнів, особливо хлопців.</w:t>
      </w:r>
    </w:p>
    <w:p w:rsidR="002F3A3D" w:rsidRDefault="00A22ADA" w:rsidP="00A22ADA">
      <w:pPr>
        <w:spacing w:line="240" w:lineRule="auto"/>
        <w:ind w:firstLine="567"/>
        <w:jc w:val="both"/>
        <w:rPr>
          <w:rFonts w:ascii="Times New Roman" w:eastAsia="Times New Roman" w:hAnsi="Times New Roman" w:cs="Times New Roman"/>
          <w:sz w:val="24"/>
          <w:szCs w:val="24"/>
        </w:rPr>
      </w:pPr>
      <w:r w:rsidRPr="00A22ADA">
        <w:rPr>
          <w:rFonts w:ascii="Times New Roman" w:eastAsia="Times New Roman" w:hAnsi="Times New Roman" w:cs="Times New Roman"/>
          <w:sz w:val="24"/>
          <w:szCs w:val="24"/>
        </w:rPr>
        <w:t xml:space="preserve">Таким чином, розподіл респондентів за статтю є суттєвою характеристикою вибірки, яку необхідно враховувати при формуванні управлінських висновків і подальшому </w:t>
      </w:r>
      <w:proofErr w:type="spellStart"/>
      <w:r w:rsidRPr="00A22ADA">
        <w:rPr>
          <w:rFonts w:ascii="Times New Roman" w:eastAsia="Times New Roman" w:hAnsi="Times New Roman" w:cs="Times New Roman"/>
          <w:sz w:val="24"/>
          <w:szCs w:val="24"/>
        </w:rPr>
        <w:t>проєктуванні</w:t>
      </w:r>
      <w:proofErr w:type="spellEnd"/>
      <w:r w:rsidRPr="00A22ADA">
        <w:rPr>
          <w:rFonts w:ascii="Times New Roman" w:eastAsia="Times New Roman" w:hAnsi="Times New Roman" w:cs="Times New Roman"/>
          <w:sz w:val="24"/>
          <w:szCs w:val="24"/>
        </w:rPr>
        <w:t xml:space="preserve"> системи профорієнтації в громаді, зокрема в частині залучення ширшого кола фахівців, представників різних професійних середовищ і гендерних груп.</w:t>
      </w:r>
      <w:r w:rsidRPr="00A22ADA">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 xml:space="preserve">(Рис. 6). </w:t>
      </w:r>
    </w:p>
    <w:p w:rsidR="002F3A3D" w:rsidRDefault="00400BE9">
      <w:pPr>
        <w:widowControl w:val="0"/>
        <w:spacing w:before="240"/>
        <w:jc w:val="right"/>
        <w:rPr>
          <w:rFonts w:ascii="Times New Roman" w:eastAsia="Times New Roman" w:hAnsi="Times New Roman" w:cs="Times New Roman"/>
          <w:sz w:val="24"/>
          <w:szCs w:val="24"/>
        </w:rPr>
      </w:pPr>
      <w:r>
        <w:rPr>
          <w:noProof/>
          <w:lang w:val="ru-RU"/>
        </w:rPr>
        <w:lastRenderedPageBreak/>
        <w:drawing>
          <wp:anchor distT="0" distB="0" distL="114300" distR="114300" simplePos="0" relativeHeight="251667968" behindDoc="1" locked="0" layoutInCell="1" allowOverlap="1" wp14:anchorId="4A4DD028" wp14:editId="2637630D">
            <wp:simplePos x="0" y="0"/>
            <wp:positionH relativeFrom="column">
              <wp:posOffset>20955</wp:posOffset>
            </wp:positionH>
            <wp:positionV relativeFrom="paragraph">
              <wp:posOffset>375285</wp:posOffset>
            </wp:positionV>
            <wp:extent cx="5685155" cy="2434590"/>
            <wp:effectExtent l="19050" t="19050" r="10795" b="22860"/>
            <wp:wrapTight wrapText="bothSides">
              <wp:wrapPolygon edited="0">
                <wp:start x="-72" y="-169"/>
                <wp:lineTo x="-72" y="21634"/>
                <wp:lineTo x="21569" y="21634"/>
                <wp:lineTo x="21569" y="-169"/>
                <wp:lineTo x="-72" y="-169"/>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7621" t="38243" r="19145" b="13615"/>
                    <a:stretch/>
                  </pic:blipFill>
                  <pic:spPr bwMode="auto">
                    <a:xfrm>
                      <a:off x="0" y="0"/>
                      <a:ext cx="5685155" cy="243459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8DE">
        <w:rPr>
          <w:rFonts w:ascii="Times New Roman" w:eastAsia="Times New Roman" w:hAnsi="Times New Roman" w:cs="Times New Roman"/>
          <w:b/>
          <w:bCs/>
          <w:sz w:val="24"/>
          <w:szCs w:val="24"/>
        </w:rPr>
        <w:t>Рисунок 6. Розподіл респондентів за статтю</w:t>
      </w:r>
    </w:p>
    <w:p w:rsidR="002F3A3D" w:rsidRDefault="002F3A3D">
      <w:pPr>
        <w:spacing w:line="240" w:lineRule="auto"/>
        <w:rPr>
          <w:rFonts w:ascii="Times New Roman" w:eastAsia="Times New Roman" w:hAnsi="Times New Roman" w:cs="Times New Roman"/>
          <w:sz w:val="24"/>
          <w:szCs w:val="24"/>
        </w:rPr>
      </w:pPr>
    </w:p>
    <w:p w:rsidR="009117AC" w:rsidRPr="009117AC" w:rsidRDefault="008028DE" w:rsidP="009117AC">
      <w:pPr>
        <w:pStyle w:val="afff2"/>
        <w:spacing w:line="240" w:lineRule="auto"/>
        <w:ind w:firstLine="567"/>
        <w:jc w:val="both"/>
        <w:rPr>
          <w:rFonts w:eastAsia="Times New Roman"/>
          <w:lang w:val="uk-UA"/>
        </w:rPr>
      </w:pPr>
      <w:r w:rsidRPr="009117AC">
        <w:rPr>
          <w:rFonts w:eastAsia="Times New Roman"/>
          <w:bCs/>
          <w:lang w:val="uk-UA"/>
        </w:rPr>
        <w:t xml:space="preserve">Вік. </w:t>
      </w:r>
      <w:r w:rsidR="009117AC" w:rsidRPr="009117AC">
        <w:rPr>
          <w:rFonts w:eastAsia="Times New Roman"/>
          <w:lang w:val="uk-UA"/>
        </w:rPr>
        <w:t xml:space="preserve">Вікова структура респондентів опитування </w:t>
      </w:r>
      <w:proofErr w:type="spellStart"/>
      <w:r w:rsidR="009117AC" w:rsidRPr="009117AC">
        <w:rPr>
          <w:rFonts w:eastAsia="Times New Roman"/>
          <w:lang w:val="uk-UA"/>
        </w:rPr>
        <w:t>стейкхолдерів</w:t>
      </w:r>
      <w:proofErr w:type="spellEnd"/>
      <w:r w:rsidR="009117AC" w:rsidRPr="009117AC">
        <w:rPr>
          <w:rFonts w:eastAsia="Times New Roman"/>
          <w:lang w:val="uk-UA"/>
        </w:rPr>
        <w:t xml:space="preserve"> щодо стану впровадження системи профорієнтації дітей та підлітків у Донецькій селищній територіальній громаді характеризується переважанням осіб із значним професійним і педагогічним стажем.</w:t>
      </w:r>
    </w:p>
    <w:p w:rsidR="009117AC" w:rsidRPr="009117AC" w:rsidRDefault="009117AC" w:rsidP="009117AC">
      <w:pPr>
        <w:spacing w:line="240" w:lineRule="auto"/>
        <w:ind w:firstLine="567"/>
        <w:jc w:val="both"/>
        <w:rPr>
          <w:rFonts w:ascii="Times New Roman" w:eastAsia="Times New Roman" w:hAnsi="Times New Roman" w:cs="Times New Roman"/>
          <w:sz w:val="24"/>
          <w:szCs w:val="24"/>
          <w:lang w:val="uk-UA"/>
        </w:rPr>
      </w:pPr>
      <w:r w:rsidRPr="009117AC">
        <w:rPr>
          <w:rFonts w:ascii="Times New Roman" w:eastAsia="Times New Roman" w:hAnsi="Times New Roman" w:cs="Times New Roman"/>
          <w:sz w:val="24"/>
          <w:szCs w:val="24"/>
          <w:lang w:val="uk-UA"/>
        </w:rPr>
        <w:t xml:space="preserve">Найбільшу частку вибірки становлять респонденти віком </w:t>
      </w:r>
      <w:r w:rsidRPr="009117AC">
        <w:rPr>
          <w:rFonts w:ascii="Times New Roman" w:eastAsia="Times New Roman" w:hAnsi="Times New Roman" w:cs="Times New Roman"/>
          <w:bCs/>
          <w:sz w:val="24"/>
          <w:szCs w:val="24"/>
          <w:lang w:val="uk-UA"/>
        </w:rPr>
        <w:t>51–65 років — 95 осіб (48,2%)</w:t>
      </w:r>
      <w:r w:rsidRPr="009117AC">
        <w:rPr>
          <w:rFonts w:ascii="Times New Roman" w:eastAsia="Times New Roman" w:hAnsi="Times New Roman" w:cs="Times New Roman"/>
          <w:sz w:val="24"/>
          <w:szCs w:val="24"/>
          <w:lang w:val="uk-UA"/>
        </w:rPr>
        <w:t>.</w:t>
      </w:r>
      <w:r w:rsidRPr="009117AC">
        <w:rPr>
          <w:rFonts w:ascii="Times New Roman" w:eastAsia="Times New Roman" w:hAnsi="Times New Roman" w:cs="Times New Roman"/>
          <w:sz w:val="24"/>
          <w:szCs w:val="24"/>
          <w:lang w:val="uk-UA"/>
        </w:rPr>
        <w:t xml:space="preserve"> </w:t>
      </w:r>
      <w:r w:rsidRPr="009117AC">
        <w:rPr>
          <w:rFonts w:ascii="Times New Roman" w:eastAsia="Times New Roman" w:hAnsi="Times New Roman" w:cs="Times New Roman"/>
          <w:sz w:val="24"/>
          <w:szCs w:val="24"/>
          <w:lang w:val="uk-UA"/>
        </w:rPr>
        <w:t xml:space="preserve">Другою за чисельністю є вікова група </w:t>
      </w:r>
      <w:r w:rsidRPr="009117AC">
        <w:rPr>
          <w:rFonts w:ascii="Times New Roman" w:eastAsia="Times New Roman" w:hAnsi="Times New Roman" w:cs="Times New Roman"/>
          <w:bCs/>
          <w:sz w:val="24"/>
          <w:szCs w:val="24"/>
          <w:lang w:val="uk-UA"/>
        </w:rPr>
        <w:t>36–50 років — 63 особи (32,0%)</w:t>
      </w:r>
      <w:r w:rsidRPr="009117AC">
        <w:rPr>
          <w:rFonts w:ascii="Times New Roman" w:eastAsia="Times New Roman" w:hAnsi="Times New Roman" w:cs="Times New Roman"/>
          <w:sz w:val="24"/>
          <w:szCs w:val="24"/>
          <w:lang w:val="uk-UA"/>
        </w:rPr>
        <w:t>.</w:t>
      </w:r>
      <w:r w:rsidRPr="009117AC">
        <w:rPr>
          <w:rFonts w:ascii="Times New Roman" w:eastAsia="Times New Roman" w:hAnsi="Times New Roman" w:cs="Times New Roman"/>
          <w:sz w:val="24"/>
          <w:szCs w:val="24"/>
          <w:lang w:val="uk-UA"/>
        </w:rPr>
        <w:br/>
        <w:t xml:space="preserve">Респонденти віком </w:t>
      </w:r>
      <w:r w:rsidRPr="009117AC">
        <w:rPr>
          <w:rFonts w:ascii="Times New Roman" w:eastAsia="Times New Roman" w:hAnsi="Times New Roman" w:cs="Times New Roman"/>
          <w:bCs/>
          <w:sz w:val="24"/>
          <w:szCs w:val="24"/>
          <w:lang w:val="uk-UA"/>
        </w:rPr>
        <w:t>до 35 років</w:t>
      </w:r>
      <w:r w:rsidRPr="009117AC">
        <w:rPr>
          <w:rFonts w:ascii="Times New Roman" w:eastAsia="Times New Roman" w:hAnsi="Times New Roman" w:cs="Times New Roman"/>
          <w:sz w:val="24"/>
          <w:szCs w:val="24"/>
          <w:lang w:val="uk-UA"/>
        </w:rPr>
        <w:t xml:space="preserve"> становлять </w:t>
      </w:r>
      <w:r w:rsidRPr="009117AC">
        <w:rPr>
          <w:rFonts w:ascii="Times New Roman" w:eastAsia="Times New Roman" w:hAnsi="Times New Roman" w:cs="Times New Roman"/>
          <w:bCs/>
          <w:sz w:val="24"/>
          <w:szCs w:val="24"/>
          <w:lang w:val="uk-UA"/>
        </w:rPr>
        <w:t>26 осіб (13,2%)</w:t>
      </w:r>
      <w:r w:rsidRPr="009117AC">
        <w:rPr>
          <w:rFonts w:ascii="Times New Roman" w:eastAsia="Times New Roman" w:hAnsi="Times New Roman" w:cs="Times New Roman"/>
          <w:sz w:val="24"/>
          <w:szCs w:val="24"/>
          <w:lang w:val="uk-UA"/>
        </w:rPr>
        <w:t>,</w:t>
      </w:r>
      <w:r w:rsidRPr="009117AC">
        <w:rPr>
          <w:rFonts w:ascii="Times New Roman" w:eastAsia="Times New Roman" w:hAnsi="Times New Roman" w:cs="Times New Roman"/>
          <w:sz w:val="24"/>
          <w:szCs w:val="24"/>
          <w:lang w:val="uk-UA"/>
        </w:rPr>
        <w:br/>
        <w:t xml:space="preserve">а вікова категорія </w:t>
      </w:r>
      <w:r w:rsidRPr="009117AC">
        <w:rPr>
          <w:rFonts w:ascii="Times New Roman" w:eastAsia="Times New Roman" w:hAnsi="Times New Roman" w:cs="Times New Roman"/>
          <w:bCs/>
          <w:sz w:val="24"/>
          <w:szCs w:val="24"/>
          <w:lang w:val="uk-UA"/>
        </w:rPr>
        <w:t>66 років і старше</w:t>
      </w:r>
      <w:r w:rsidRPr="009117AC">
        <w:rPr>
          <w:rFonts w:ascii="Times New Roman" w:eastAsia="Times New Roman" w:hAnsi="Times New Roman" w:cs="Times New Roman"/>
          <w:sz w:val="24"/>
          <w:szCs w:val="24"/>
          <w:lang w:val="uk-UA"/>
        </w:rPr>
        <w:t xml:space="preserve"> представлена </w:t>
      </w:r>
      <w:r w:rsidRPr="009117AC">
        <w:rPr>
          <w:rFonts w:ascii="Times New Roman" w:eastAsia="Times New Roman" w:hAnsi="Times New Roman" w:cs="Times New Roman"/>
          <w:bCs/>
          <w:sz w:val="24"/>
          <w:szCs w:val="24"/>
          <w:lang w:val="uk-UA"/>
        </w:rPr>
        <w:t>13 особами (6,6%)</w:t>
      </w:r>
      <w:r w:rsidRPr="009117AC">
        <w:rPr>
          <w:rFonts w:ascii="Times New Roman" w:eastAsia="Times New Roman" w:hAnsi="Times New Roman" w:cs="Times New Roman"/>
          <w:sz w:val="24"/>
          <w:szCs w:val="24"/>
          <w:lang w:val="uk-UA"/>
        </w:rPr>
        <w:t>.</w:t>
      </w:r>
    </w:p>
    <w:p w:rsidR="009117AC" w:rsidRPr="009117AC" w:rsidRDefault="009117AC" w:rsidP="009117AC">
      <w:pPr>
        <w:spacing w:line="240" w:lineRule="auto"/>
        <w:ind w:firstLine="567"/>
        <w:jc w:val="both"/>
        <w:rPr>
          <w:rFonts w:ascii="Times New Roman" w:eastAsia="Times New Roman" w:hAnsi="Times New Roman" w:cs="Times New Roman"/>
          <w:sz w:val="24"/>
          <w:szCs w:val="24"/>
          <w:lang w:val="uk-UA"/>
        </w:rPr>
      </w:pPr>
      <w:r w:rsidRPr="009117AC">
        <w:rPr>
          <w:rFonts w:ascii="Times New Roman" w:eastAsia="Times New Roman" w:hAnsi="Times New Roman" w:cs="Times New Roman"/>
          <w:sz w:val="24"/>
          <w:szCs w:val="24"/>
          <w:lang w:val="uk-UA"/>
        </w:rPr>
        <w:t xml:space="preserve">Отриманий розподіл засвідчує, що оцінка стану профорієнтаційної роботи в громаді переважно формується з позиції </w:t>
      </w:r>
      <w:r w:rsidRPr="009117AC">
        <w:rPr>
          <w:rFonts w:ascii="Times New Roman" w:eastAsia="Times New Roman" w:hAnsi="Times New Roman" w:cs="Times New Roman"/>
          <w:bCs/>
          <w:sz w:val="24"/>
          <w:szCs w:val="24"/>
          <w:lang w:val="uk-UA"/>
        </w:rPr>
        <w:t>досвідчених педагогічних і управлінських працівників</w:t>
      </w:r>
      <w:r w:rsidRPr="009117AC">
        <w:rPr>
          <w:rFonts w:ascii="Times New Roman" w:eastAsia="Times New Roman" w:hAnsi="Times New Roman" w:cs="Times New Roman"/>
          <w:sz w:val="24"/>
          <w:szCs w:val="24"/>
          <w:lang w:val="uk-UA"/>
        </w:rPr>
        <w:t>, які мають багаторічний практичний досвід роботи в системі освіти. Це зумовлює орієнтацію відповідей на усталені підходи до організації освітнього процесу, традиційні форми профорієнтаційної діяльності та критичне бачення системних обмежень — кадрових, ресурсних і організаційних.</w:t>
      </w:r>
    </w:p>
    <w:p w:rsidR="009117AC" w:rsidRPr="009117AC" w:rsidRDefault="009117AC" w:rsidP="009117AC">
      <w:pPr>
        <w:spacing w:line="240" w:lineRule="auto"/>
        <w:ind w:firstLine="567"/>
        <w:jc w:val="both"/>
        <w:rPr>
          <w:rFonts w:ascii="Times New Roman" w:eastAsia="Times New Roman" w:hAnsi="Times New Roman" w:cs="Times New Roman"/>
          <w:sz w:val="24"/>
          <w:szCs w:val="24"/>
          <w:lang w:val="uk-UA"/>
        </w:rPr>
      </w:pPr>
      <w:r w:rsidRPr="009117AC">
        <w:rPr>
          <w:rFonts w:ascii="Times New Roman" w:eastAsia="Times New Roman" w:hAnsi="Times New Roman" w:cs="Times New Roman"/>
          <w:sz w:val="24"/>
          <w:szCs w:val="24"/>
          <w:lang w:val="uk-UA"/>
        </w:rPr>
        <w:t xml:space="preserve">Водночас </w:t>
      </w:r>
      <w:r w:rsidRPr="009117AC">
        <w:rPr>
          <w:rFonts w:ascii="Times New Roman" w:eastAsia="Times New Roman" w:hAnsi="Times New Roman" w:cs="Times New Roman"/>
          <w:bCs/>
          <w:sz w:val="24"/>
          <w:szCs w:val="24"/>
          <w:lang w:val="uk-UA"/>
        </w:rPr>
        <w:t>відносно невисока частка молодших респондентів</w:t>
      </w:r>
      <w:r w:rsidRPr="009117AC">
        <w:rPr>
          <w:rFonts w:ascii="Times New Roman" w:eastAsia="Times New Roman" w:hAnsi="Times New Roman" w:cs="Times New Roman"/>
          <w:sz w:val="24"/>
          <w:szCs w:val="24"/>
          <w:lang w:val="uk-UA"/>
        </w:rPr>
        <w:t xml:space="preserve"> (до 35 років) свідчить про обмежену </w:t>
      </w:r>
      <w:proofErr w:type="spellStart"/>
      <w:r w:rsidRPr="009117AC">
        <w:rPr>
          <w:rFonts w:ascii="Times New Roman" w:eastAsia="Times New Roman" w:hAnsi="Times New Roman" w:cs="Times New Roman"/>
          <w:sz w:val="24"/>
          <w:szCs w:val="24"/>
          <w:lang w:val="uk-UA"/>
        </w:rPr>
        <w:t>залученість</w:t>
      </w:r>
      <w:proofErr w:type="spellEnd"/>
      <w:r w:rsidRPr="009117AC">
        <w:rPr>
          <w:rFonts w:ascii="Times New Roman" w:eastAsia="Times New Roman" w:hAnsi="Times New Roman" w:cs="Times New Roman"/>
          <w:sz w:val="24"/>
          <w:szCs w:val="24"/>
          <w:lang w:val="uk-UA"/>
        </w:rPr>
        <w:t xml:space="preserve"> молодих фахівців до формування управлінського бачення профорієнтації. Це може впливати на недостатню представленість у відповідях інноваційних підходів, цифрових інструментів, нових форматів взаємодії з бізнесом та ринком праці, які є більш характерними для молодшого покоління педагогів.</w:t>
      </w:r>
    </w:p>
    <w:p w:rsidR="002F3A3D" w:rsidRPr="009117AC" w:rsidRDefault="009117AC" w:rsidP="009117AC">
      <w:pPr>
        <w:spacing w:line="240" w:lineRule="auto"/>
        <w:ind w:firstLine="567"/>
        <w:jc w:val="both"/>
        <w:rPr>
          <w:rFonts w:ascii="Times New Roman" w:eastAsia="Times New Roman" w:hAnsi="Times New Roman" w:cs="Times New Roman"/>
          <w:bCs/>
          <w:sz w:val="24"/>
          <w:szCs w:val="24"/>
          <w:lang w:val="uk-UA"/>
        </w:rPr>
      </w:pPr>
      <w:r w:rsidRPr="009117AC">
        <w:rPr>
          <w:rFonts w:ascii="Times New Roman" w:eastAsia="Times New Roman" w:hAnsi="Times New Roman" w:cs="Times New Roman"/>
          <w:sz w:val="24"/>
          <w:szCs w:val="24"/>
          <w:lang w:val="uk-UA"/>
        </w:rPr>
        <w:t xml:space="preserve">Таким чином, вікова структура вибірки є </w:t>
      </w:r>
      <w:r w:rsidRPr="009117AC">
        <w:rPr>
          <w:rFonts w:ascii="Times New Roman" w:eastAsia="Times New Roman" w:hAnsi="Times New Roman" w:cs="Times New Roman"/>
          <w:bCs/>
          <w:sz w:val="24"/>
          <w:szCs w:val="24"/>
          <w:lang w:val="uk-UA"/>
        </w:rPr>
        <w:t>важливою аналітичною характеристикою</w:t>
      </w:r>
      <w:r w:rsidRPr="009117AC">
        <w:rPr>
          <w:rFonts w:ascii="Times New Roman" w:eastAsia="Times New Roman" w:hAnsi="Times New Roman" w:cs="Times New Roman"/>
          <w:sz w:val="24"/>
          <w:szCs w:val="24"/>
          <w:lang w:val="uk-UA"/>
        </w:rPr>
        <w:t>, яка пояснює домінування в результатах опитування обережних, виважених оцінок стану профорієнтації та підкреслює потребу в цілеспрямованому залученні молодших фахівців до розвитку й модернізації с</w:t>
      </w:r>
      <w:r w:rsidRPr="009117AC">
        <w:rPr>
          <w:rFonts w:ascii="Times New Roman" w:eastAsia="Times New Roman" w:hAnsi="Times New Roman" w:cs="Times New Roman"/>
          <w:sz w:val="24"/>
          <w:szCs w:val="24"/>
          <w:lang w:val="uk-UA"/>
        </w:rPr>
        <w:t xml:space="preserve">истеми профорієнтації в громаді  </w:t>
      </w:r>
      <w:r w:rsidR="008028DE" w:rsidRPr="009117AC">
        <w:rPr>
          <w:rFonts w:ascii="Times New Roman" w:eastAsia="Times New Roman" w:hAnsi="Times New Roman" w:cs="Times New Roman"/>
          <w:sz w:val="24"/>
          <w:szCs w:val="24"/>
          <w:lang w:val="uk-UA"/>
        </w:rPr>
        <w:t xml:space="preserve">(Рис. 7).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7. Розподіл респондентів за віком</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w:t>
      </w:r>
    </w:p>
    <w:p w:rsidR="002F3A3D" w:rsidRDefault="002F3A3D">
      <w:pPr>
        <w:spacing w:line="240" w:lineRule="auto"/>
        <w:rPr>
          <w:rFonts w:ascii="Times New Roman" w:eastAsia="Times New Roman" w:hAnsi="Times New Roman" w:cs="Times New Roman"/>
          <w:sz w:val="24"/>
          <w:szCs w:val="24"/>
        </w:rPr>
      </w:pPr>
    </w:p>
    <w:p w:rsidR="009117AC" w:rsidRPr="009117AC" w:rsidRDefault="008028DE" w:rsidP="009117AC">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Місце проживання.  </w:t>
      </w:r>
      <w:r w:rsidR="009117AC" w:rsidRPr="009117AC">
        <w:rPr>
          <w:rFonts w:ascii="Times New Roman" w:eastAsia="Times New Roman" w:hAnsi="Times New Roman" w:cs="Times New Roman"/>
          <w:sz w:val="24"/>
          <w:szCs w:val="24"/>
        </w:rPr>
        <w:t xml:space="preserve">Аналіз розподілу респондентів за місцем проживання засвідчив переважання мешканців сільської місцевості у структурі вибірки опитування </w:t>
      </w:r>
      <w:proofErr w:type="spellStart"/>
      <w:r w:rsidR="009117AC" w:rsidRPr="009117AC">
        <w:rPr>
          <w:rFonts w:ascii="Times New Roman" w:eastAsia="Times New Roman" w:hAnsi="Times New Roman" w:cs="Times New Roman"/>
          <w:sz w:val="24"/>
          <w:szCs w:val="24"/>
        </w:rPr>
        <w:t>стейкхолдерів</w:t>
      </w:r>
      <w:proofErr w:type="spellEnd"/>
      <w:r w:rsidR="009117AC" w:rsidRPr="009117AC">
        <w:rPr>
          <w:rFonts w:ascii="Times New Roman" w:eastAsia="Times New Roman" w:hAnsi="Times New Roman" w:cs="Times New Roman"/>
          <w:sz w:val="24"/>
          <w:szCs w:val="24"/>
        </w:rPr>
        <w:t xml:space="preserve"> щодо стану впровадження системи профорієнтації дітей та підлітків у Донецькій селищній територіальній громаді.</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t>Більшість опитаних — мешканці сіл громади, 124 особи (62,9%).</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lastRenderedPageBreak/>
        <w:t>Респонденти, які проживають у с</w:t>
      </w:r>
      <w:proofErr w:type="spellStart"/>
      <w:r>
        <w:rPr>
          <w:rFonts w:ascii="Times New Roman" w:eastAsia="Times New Roman" w:hAnsi="Times New Roman" w:cs="Times New Roman"/>
          <w:sz w:val="24"/>
          <w:szCs w:val="24"/>
          <w:lang w:val="uk-UA"/>
        </w:rPr>
        <w:t>елищі</w:t>
      </w:r>
      <w:proofErr w:type="spellEnd"/>
      <w:r w:rsidRPr="009117AC">
        <w:rPr>
          <w:rFonts w:ascii="Times New Roman" w:eastAsia="Times New Roman" w:hAnsi="Times New Roman" w:cs="Times New Roman"/>
          <w:sz w:val="24"/>
          <w:szCs w:val="24"/>
        </w:rPr>
        <w:t xml:space="preserve"> Донець, становлять 73 особи (37,1%).</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t xml:space="preserve">Такий розподіл відповідає просторовій та освітній структурі громади, у межах якої значна частина закладів загальної середньої освіти розташована саме в сільських населених пунктах, а педагогічні колективи формуються переважно з </w:t>
      </w:r>
      <w:bookmarkStart w:id="3" w:name="_GoBack"/>
      <w:bookmarkEnd w:id="3"/>
      <w:r w:rsidRPr="009117AC">
        <w:rPr>
          <w:rFonts w:ascii="Times New Roman" w:eastAsia="Times New Roman" w:hAnsi="Times New Roman" w:cs="Times New Roman"/>
          <w:sz w:val="24"/>
          <w:szCs w:val="24"/>
        </w:rPr>
        <w:t>жителів.</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t>Переважання респондентів із сільської місцевості визначає специфіку отриманих оцінок стану профорієнтаційної роботи. У відповідях цієї групи чіткіше проявляються питання територіальної віддаленості, обмеженого доступу до різноманітних професійних середовищ, локального ринку праці та профорієнтаційних подій, що виходять за межі освітнього середовища громади.</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t xml:space="preserve">Водночас частка респондентів із смт Донець забезпечує </w:t>
      </w:r>
      <w:proofErr w:type="spellStart"/>
      <w:r w:rsidRPr="009117AC">
        <w:rPr>
          <w:rFonts w:ascii="Times New Roman" w:eastAsia="Times New Roman" w:hAnsi="Times New Roman" w:cs="Times New Roman"/>
          <w:sz w:val="24"/>
          <w:szCs w:val="24"/>
        </w:rPr>
        <w:t>управлінсько</w:t>
      </w:r>
      <w:proofErr w:type="spellEnd"/>
      <w:r w:rsidRPr="009117AC">
        <w:rPr>
          <w:rFonts w:ascii="Times New Roman" w:eastAsia="Times New Roman" w:hAnsi="Times New Roman" w:cs="Times New Roman"/>
          <w:sz w:val="24"/>
          <w:szCs w:val="24"/>
        </w:rPr>
        <w:t xml:space="preserve">-організаційний вимір оцінки профорієнтації, зосереджений на координації, міжвідомчій взаємодії, доступі до </w:t>
      </w:r>
      <w:proofErr w:type="spellStart"/>
      <w:r w:rsidRPr="009117AC">
        <w:rPr>
          <w:rFonts w:ascii="Times New Roman" w:eastAsia="Times New Roman" w:hAnsi="Times New Roman" w:cs="Times New Roman"/>
          <w:sz w:val="24"/>
          <w:szCs w:val="24"/>
        </w:rPr>
        <w:t>партнерств</w:t>
      </w:r>
      <w:proofErr w:type="spellEnd"/>
      <w:r w:rsidRPr="009117AC">
        <w:rPr>
          <w:rFonts w:ascii="Times New Roman" w:eastAsia="Times New Roman" w:hAnsi="Times New Roman" w:cs="Times New Roman"/>
          <w:sz w:val="24"/>
          <w:szCs w:val="24"/>
        </w:rPr>
        <w:t xml:space="preserve"> і ресурсів. Співвідношення цих двох груп дозволяє розглядати результати опитування як такі, що відображають реальні умови впровадження профорієнтації в територіально розгалуженій громаді, а не лише з позиції центрального населеного пункту.</w:t>
      </w:r>
    </w:p>
    <w:p w:rsidR="009117AC" w:rsidRPr="009117AC" w:rsidRDefault="009117AC" w:rsidP="009117AC">
      <w:pPr>
        <w:spacing w:line="240" w:lineRule="auto"/>
        <w:ind w:firstLine="567"/>
        <w:jc w:val="both"/>
        <w:rPr>
          <w:rFonts w:ascii="Times New Roman" w:eastAsia="Times New Roman" w:hAnsi="Times New Roman" w:cs="Times New Roman"/>
          <w:sz w:val="24"/>
          <w:szCs w:val="24"/>
        </w:rPr>
      </w:pPr>
    </w:p>
    <w:p w:rsidR="002F3A3D" w:rsidRDefault="009117AC" w:rsidP="009117AC">
      <w:pPr>
        <w:spacing w:line="240" w:lineRule="auto"/>
        <w:ind w:firstLine="567"/>
        <w:jc w:val="both"/>
        <w:rPr>
          <w:rFonts w:ascii="Times New Roman" w:eastAsia="Times New Roman" w:hAnsi="Times New Roman" w:cs="Times New Roman"/>
          <w:sz w:val="24"/>
          <w:szCs w:val="24"/>
        </w:rPr>
      </w:pPr>
      <w:r w:rsidRPr="009117AC">
        <w:rPr>
          <w:rFonts w:ascii="Times New Roman" w:eastAsia="Times New Roman" w:hAnsi="Times New Roman" w:cs="Times New Roman"/>
          <w:sz w:val="24"/>
          <w:szCs w:val="24"/>
        </w:rPr>
        <w:t>Таким чином, розподіл респондентів за місцем проживання є ключовою характеристикою вибірки, яка пояснює акцент у відповідях на питання доступності, рівності можливостей та потребу в розвитку мобільних, дистанційних і мережевих форматів профорієнтаційної роботи для дітей та підлітків у всіх населених пунктах громади.</w:t>
      </w:r>
      <w:r w:rsidRPr="009117AC">
        <w:rPr>
          <w:rFonts w:ascii="Times New Roman" w:eastAsia="Times New Roman" w:hAnsi="Times New Roman" w:cs="Times New Roman"/>
          <w:sz w:val="24"/>
          <w:szCs w:val="24"/>
        </w:rPr>
        <w:t xml:space="preserve"> </w:t>
      </w:r>
      <w:r w:rsidR="008028DE">
        <w:rPr>
          <w:rFonts w:ascii="Times New Roman" w:eastAsia="Times New Roman" w:hAnsi="Times New Roman" w:cs="Times New Roman"/>
          <w:sz w:val="24"/>
          <w:szCs w:val="24"/>
        </w:rPr>
        <w:t xml:space="preserve">(Рис. 8).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8. Розподіл респондентів за місцем проживання</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jc w:val="center"/>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Тип закладу освіти. </w:t>
      </w:r>
      <w:r>
        <w:rPr>
          <w:rFonts w:ascii="Times New Roman" w:eastAsia="Times New Roman" w:hAnsi="Times New Roman" w:cs="Times New Roman"/>
          <w:sz w:val="24"/>
          <w:szCs w:val="24"/>
        </w:rPr>
        <w:t xml:space="preserve">Описати розподіл респондентів (Рис. 9).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9. Розподіл респондентів за типом закладу освіти</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jc w:val="center"/>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Посада.  </w:t>
      </w:r>
      <w:r>
        <w:rPr>
          <w:rFonts w:ascii="Times New Roman" w:eastAsia="Times New Roman" w:hAnsi="Times New Roman" w:cs="Times New Roman"/>
          <w:sz w:val="24"/>
          <w:szCs w:val="24"/>
        </w:rPr>
        <w:t xml:space="preserve">Описати розподіл респондентів (Рис. 10).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10. Розподіл респондентів за посадою</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Вікова група дітей, з якою працюють. </w:t>
      </w:r>
      <w:r>
        <w:rPr>
          <w:rFonts w:ascii="Times New Roman" w:eastAsia="Times New Roman" w:hAnsi="Times New Roman" w:cs="Times New Roman"/>
          <w:sz w:val="24"/>
          <w:szCs w:val="24"/>
        </w:rPr>
        <w:t xml:space="preserve">Описати розподіл респондентів (Рис. 11).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11. Розподіл респондентів за типом закладу освіти</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Формат роботи закладу освіти в 2025/26 н.р.. </w:t>
      </w:r>
      <w:r>
        <w:rPr>
          <w:rFonts w:ascii="Times New Roman" w:eastAsia="Times New Roman" w:hAnsi="Times New Roman" w:cs="Times New Roman"/>
          <w:sz w:val="24"/>
          <w:szCs w:val="24"/>
        </w:rPr>
        <w:t xml:space="preserve">Описати розподіл респондентів (Рис. 12).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12. Розподіл респондентів за типом закладу освіти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Виконання ролі в межах в межах національного пілотування системи профорієнтації дітей та підлітків. </w:t>
      </w:r>
      <w:r>
        <w:rPr>
          <w:rFonts w:ascii="Times New Roman" w:eastAsia="Times New Roman" w:hAnsi="Times New Roman" w:cs="Times New Roman"/>
          <w:sz w:val="24"/>
          <w:szCs w:val="24"/>
        </w:rPr>
        <w:t xml:space="preserve">Описати розподіл респондентів (Рис. 13).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Рисунок 13. Роль в межах в межах національного пілотування системи профорієнтації дітей та підлітків</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2F3A3D">
      <w:pPr>
        <w:spacing w:line="240" w:lineRule="auto"/>
        <w:rPr>
          <w:rFonts w:ascii="Times New Roman" w:eastAsia="Times New Roman" w:hAnsi="Times New Roman" w:cs="Times New Roman"/>
          <w:b/>
          <w:bCs/>
          <w:sz w:val="24"/>
          <w:szCs w:val="24"/>
        </w:rPr>
      </w:pPr>
    </w:p>
    <w:p w:rsidR="002F3A3D" w:rsidRDefault="008028DE">
      <w:pPr>
        <w:numPr>
          <w:ilvl w:val="0"/>
          <w:numId w:val="21"/>
        </w:numPr>
        <w:spacing w:line="240" w:lineRule="auto"/>
        <w:rPr>
          <w:rFonts w:ascii="Times New Roman" w:eastAsia="Times New Roman" w:hAnsi="Times New Roman" w:cs="Times New Roman"/>
          <w:b/>
          <w:bCs/>
          <w:color w:val="1C4587"/>
          <w:sz w:val="24"/>
          <w:szCs w:val="24"/>
          <w:shd w:val="clear" w:color="auto" w:fill="C9DAF8"/>
        </w:rPr>
      </w:pPr>
      <w:r>
        <w:rPr>
          <w:rFonts w:ascii="Times New Roman" w:eastAsia="Times New Roman" w:hAnsi="Times New Roman" w:cs="Times New Roman"/>
          <w:b/>
          <w:bCs/>
          <w:color w:val="1C4587"/>
          <w:sz w:val="24"/>
          <w:szCs w:val="24"/>
          <w:shd w:val="clear" w:color="auto" w:fill="C9DAF8"/>
        </w:rPr>
        <w:t>Батьки учнів закладів загальної середньої освіти віком 10–18 років</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Pr>
          <w:rFonts w:ascii="Times New Roman" w:eastAsia="Times New Roman" w:hAnsi="Times New Roman" w:cs="Times New Roman"/>
          <w:sz w:val="24"/>
          <w:szCs w:val="24"/>
        </w:rPr>
        <w:t xml:space="preserve">Описати розподіл респондентів  (Рис. 14).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14. Розподіл респондентів за статтю</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Вік. </w:t>
      </w:r>
      <w:r>
        <w:rPr>
          <w:rFonts w:ascii="Times New Roman" w:eastAsia="Times New Roman" w:hAnsi="Times New Roman" w:cs="Times New Roman"/>
          <w:sz w:val="24"/>
          <w:szCs w:val="24"/>
        </w:rPr>
        <w:t xml:space="preserve">Описати розподіл респондентів (Рис. 15).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15. Розподіл респондентів за віком</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Місце проживання.  </w:t>
      </w:r>
      <w:r>
        <w:rPr>
          <w:rFonts w:ascii="Times New Roman" w:eastAsia="Times New Roman" w:hAnsi="Times New Roman" w:cs="Times New Roman"/>
          <w:sz w:val="24"/>
          <w:szCs w:val="24"/>
        </w:rPr>
        <w:t xml:space="preserve">Описати розподіл респондентів (Рис. 16).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16. Розподіл респондентів за місцем проживання</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Клас навчання дитини. </w:t>
      </w:r>
      <w:r>
        <w:rPr>
          <w:rFonts w:ascii="Times New Roman" w:eastAsia="Times New Roman" w:hAnsi="Times New Roman" w:cs="Times New Roman"/>
          <w:sz w:val="24"/>
          <w:szCs w:val="24"/>
        </w:rPr>
        <w:t xml:space="preserve">Описати розподіл респондентів (Рис. 17).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17. Розподіл респондентів за класом навчання дитини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Формат роботи ЗЗСО в 2025/26 н.р.. </w:t>
      </w:r>
      <w:r>
        <w:rPr>
          <w:rFonts w:ascii="Times New Roman" w:eastAsia="Times New Roman" w:hAnsi="Times New Roman" w:cs="Times New Roman"/>
          <w:sz w:val="24"/>
          <w:szCs w:val="24"/>
        </w:rPr>
        <w:t xml:space="preserve">Описати розподіл респондентів (Рис. 18).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18. Розподіл респондентів за форматом роботи ЗЗСО в 2025/26 н.р.</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jc w:val="center"/>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Відвідування дитиною гуртків/секцій/клубів на базі закладів позашкільної освіти. </w:t>
      </w:r>
      <w:r>
        <w:rPr>
          <w:rFonts w:ascii="Times New Roman" w:eastAsia="Times New Roman" w:hAnsi="Times New Roman" w:cs="Times New Roman"/>
          <w:sz w:val="24"/>
          <w:szCs w:val="24"/>
        </w:rPr>
        <w:t xml:space="preserve">Описати розподіл респондентів (Рис. 19).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19. Розподіл респондентів за станом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дитиною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Відвідування дитиною гуртків/секцій/клубів на базі школи. </w:t>
      </w:r>
      <w:r>
        <w:rPr>
          <w:rFonts w:ascii="Times New Roman" w:eastAsia="Times New Roman" w:hAnsi="Times New Roman" w:cs="Times New Roman"/>
          <w:sz w:val="24"/>
          <w:szCs w:val="24"/>
        </w:rPr>
        <w:t xml:space="preserve">Описати розподіл респондентів (Рис. 20).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20. Розподіл респондентів за станом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дитиною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numPr>
          <w:ilvl w:val="0"/>
          <w:numId w:val="21"/>
        </w:numPr>
        <w:spacing w:line="240" w:lineRule="auto"/>
        <w:jc w:val="both"/>
        <w:rPr>
          <w:rFonts w:ascii="Times New Roman" w:eastAsia="Times New Roman" w:hAnsi="Times New Roman" w:cs="Times New Roman"/>
          <w:b/>
          <w:bCs/>
          <w:color w:val="1C4587"/>
          <w:sz w:val="24"/>
          <w:szCs w:val="24"/>
          <w:shd w:val="clear" w:color="auto" w:fill="C9DAF8"/>
        </w:rPr>
      </w:pPr>
      <w:r>
        <w:rPr>
          <w:rFonts w:ascii="Times New Roman" w:eastAsia="Times New Roman" w:hAnsi="Times New Roman" w:cs="Times New Roman"/>
          <w:b/>
          <w:bCs/>
          <w:color w:val="1C4587"/>
          <w:sz w:val="24"/>
          <w:szCs w:val="24"/>
          <w:shd w:val="clear" w:color="auto" w:fill="C9DAF8"/>
        </w:rPr>
        <w:t>Роботодавці (керівники місцевих державних, комунальних і приватних підприємств, установ та організацій)</w:t>
      </w:r>
    </w:p>
    <w:p w:rsidR="002F3A3D" w:rsidRDefault="002F3A3D">
      <w:pPr>
        <w:spacing w:line="240" w:lineRule="auto"/>
        <w:ind w:left="720"/>
        <w:rPr>
          <w:rFonts w:ascii="Times New Roman" w:eastAsia="Times New Roman" w:hAnsi="Times New Roman" w:cs="Times New Roman"/>
          <w:b/>
          <w:bCs/>
          <w:color w:val="1C4587"/>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Pr>
          <w:rFonts w:ascii="Times New Roman" w:eastAsia="Times New Roman" w:hAnsi="Times New Roman" w:cs="Times New Roman"/>
          <w:sz w:val="24"/>
          <w:szCs w:val="24"/>
        </w:rPr>
        <w:t xml:space="preserve">Описати розподіл респондентів  (Рис. 21).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21. Розподіл респондентів за статтю</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Вік. </w:t>
      </w:r>
      <w:r>
        <w:rPr>
          <w:rFonts w:ascii="Times New Roman" w:eastAsia="Times New Roman" w:hAnsi="Times New Roman" w:cs="Times New Roman"/>
          <w:sz w:val="24"/>
          <w:szCs w:val="24"/>
        </w:rPr>
        <w:t xml:space="preserve">Описати розподіл респондентів (Рис. 22).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22. Розподіл респондентів за віком</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Місце проживання.  </w:t>
      </w:r>
      <w:r>
        <w:rPr>
          <w:rFonts w:ascii="Times New Roman" w:eastAsia="Times New Roman" w:hAnsi="Times New Roman" w:cs="Times New Roman"/>
          <w:sz w:val="24"/>
          <w:szCs w:val="24"/>
        </w:rPr>
        <w:t xml:space="preserve">Описати розподіл респондентів (Рис. 23).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23. Розподіл респондентів за місцем проживання</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color w:val="1C4587"/>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Сфера професійної діяльності.  </w:t>
      </w:r>
      <w:r>
        <w:rPr>
          <w:rFonts w:ascii="Times New Roman" w:eastAsia="Times New Roman" w:hAnsi="Times New Roman" w:cs="Times New Roman"/>
          <w:sz w:val="24"/>
          <w:szCs w:val="24"/>
        </w:rPr>
        <w:t xml:space="preserve">Описати розподіл респондентів (Рис. 24).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24. Розподіл респондентів за сферою професійної діяльності</w:t>
      </w:r>
    </w:p>
    <w:p w:rsidR="002F3A3D" w:rsidRDefault="008028DE">
      <w:pPr>
        <w:widowControl w:val="0"/>
        <w:jc w:val="center"/>
        <w:rPr>
          <w:rFonts w:ascii="Times New Roman" w:eastAsia="Times New Roman" w:hAnsi="Times New Roman" w:cs="Times New Roman"/>
          <w:b/>
          <w:bCs/>
          <w:color w:val="1C4587"/>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Форма власності підприємства/установи/організації. </w:t>
      </w:r>
      <w:r>
        <w:rPr>
          <w:rFonts w:ascii="Times New Roman" w:eastAsia="Times New Roman" w:hAnsi="Times New Roman" w:cs="Times New Roman"/>
          <w:sz w:val="24"/>
          <w:szCs w:val="24"/>
        </w:rPr>
        <w:t xml:space="preserve">Описати розподіл респондентів (Рис. 25).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Рисунок 25. Розподіл респондентів за формою власності</w:t>
      </w:r>
    </w:p>
    <w:p w:rsidR="002F3A3D" w:rsidRDefault="008028DE">
      <w:pPr>
        <w:widowControl w:val="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підприємства/установи/організації</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Територіальна приналежність підприємства/установи/організації. </w:t>
      </w:r>
      <w:r>
        <w:rPr>
          <w:rFonts w:ascii="Times New Roman" w:eastAsia="Times New Roman" w:hAnsi="Times New Roman" w:cs="Times New Roman"/>
          <w:sz w:val="24"/>
          <w:szCs w:val="24"/>
        </w:rPr>
        <w:t xml:space="preserve">Описати розподіл респондентів (Рис. 26).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Рисунок 26. Розподіл респондентів за територіальною приналежністю</w:t>
      </w:r>
    </w:p>
    <w:p w:rsidR="002F3A3D" w:rsidRDefault="008028DE">
      <w:pPr>
        <w:widowControl w:val="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підприємства/установи/організації</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Формат роботи підприємства/установи/організації у 2025 р.. </w:t>
      </w:r>
      <w:r>
        <w:rPr>
          <w:rFonts w:ascii="Times New Roman" w:eastAsia="Times New Roman" w:hAnsi="Times New Roman" w:cs="Times New Roman"/>
          <w:sz w:val="24"/>
          <w:szCs w:val="24"/>
        </w:rPr>
        <w:t xml:space="preserve">Описати розподіл респондентів (Рис. 27).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27. Розподіл респондентів за форматом роботи підприємства/установи/організації у 2025 р.</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color w:val="1C4587"/>
          <w:sz w:val="24"/>
          <w:szCs w:val="24"/>
        </w:rPr>
      </w:pPr>
    </w:p>
    <w:p w:rsidR="002F3A3D" w:rsidRDefault="008028DE">
      <w:pPr>
        <w:numPr>
          <w:ilvl w:val="0"/>
          <w:numId w:val="21"/>
        </w:numPr>
        <w:spacing w:line="240" w:lineRule="auto"/>
        <w:rPr>
          <w:rFonts w:ascii="Times New Roman" w:eastAsia="Times New Roman" w:hAnsi="Times New Roman" w:cs="Times New Roman"/>
          <w:b/>
          <w:bCs/>
          <w:color w:val="1C4587"/>
          <w:sz w:val="24"/>
          <w:szCs w:val="24"/>
          <w:shd w:val="clear" w:color="auto" w:fill="C9DAF8"/>
        </w:rPr>
      </w:pPr>
      <w:r>
        <w:rPr>
          <w:rFonts w:ascii="Times New Roman" w:eastAsia="Times New Roman" w:hAnsi="Times New Roman" w:cs="Times New Roman"/>
          <w:b/>
          <w:bCs/>
          <w:color w:val="1C4587"/>
          <w:sz w:val="24"/>
          <w:szCs w:val="24"/>
          <w:shd w:val="clear" w:color="auto" w:fill="C9DAF8"/>
        </w:rPr>
        <w:t>Учні закладів загальної середньої освіти віком 10–18 років</w:t>
      </w:r>
    </w:p>
    <w:p w:rsidR="002F3A3D" w:rsidRDefault="002F3A3D">
      <w:pPr>
        <w:spacing w:line="240" w:lineRule="auto"/>
        <w:rPr>
          <w:rFonts w:ascii="Times New Roman" w:eastAsia="Times New Roman" w:hAnsi="Times New Roman" w:cs="Times New Roman"/>
          <w:b/>
          <w:bCs/>
          <w:color w:val="1C4587"/>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Pr>
          <w:rFonts w:ascii="Times New Roman" w:eastAsia="Times New Roman" w:hAnsi="Times New Roman" w:cs="Times New Roman"/>
          <w:sz w:val="24"/>
          <w:szCs w:val="24"/>
        </w:rPr>
        <w:t xml:space="preserve">Описати розподіл респондентів  (Рис. 27).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27. Розподіл респондентів за статтю</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Вік. </w:t>
      </w:r>
      <w:r>
        <w:rPr>
          <w:rFonts w:ascii="Times New Roman" w:eastAsia="Times New Roman" w:hAnsi="Times New Roman" w:cs="Times New Roman"/>
          <w:sz w:val="24"/>
          <w:szCs w:val="24"/>
        </w:rPr>
        <w:t xml:space="preserve">Описати розподіл респондентів (Рис. 28).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28. Розподіл респондентів за віком</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Місце проживання.  </w:t>
      </w:r>
      <w:r>
        <w:rPr>
          <w:rFonts w:ascii="Times New Roman" w:eastAsia="Times New Roman" w:hAnsi="Times New Roman" w:cs="Times New Roman"/>
          <w:sz w:val="24"/>
          <w:szCs w:val="24"/>
        </w:rPr>
        <w:t xml:space="preserve">Описати розподіл респондентів (Рис. 29).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29. Розподіл респондентів за місцем проживання</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Клас навчання. </w:t>
      </w:r>
      <w:r>
        <w:rPr>
          <w:rFonts w:ascii="Times New Roman" w:eastAsia="Times New Roman" w:hAnsi="Times New Roman" w:cs="Times New Roman"/>
          <w:sz w:val="24"/>
          <w:szCs w:val="24"/>
        </w:rPr>
        <w:t xml:space="preserve">Описати розподіл респондентів (Рис. 30).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30. Розподіл респондентів за класом навчання дитини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Формат роботи ЗЗСО в 2025/26 н.р.. </w:t>
      </w:r>
      <w:r>
        <w:rPr>
          <w:rFonts w:ascii="Times New Roman" w:eastAsia="Times New Roman" w:hAnsi="Times New Roman" w:cs="Times New Roman"/>
          <w:sz w:val="24"/>
          <w:szCs w:val="24"/>
        </w:rPr>
        <w:t xml:space="preserve">Описати розподіл респондентів (Рис. 31).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31. Розподіл респондентів за форматом роботи ЗЗСО в 2025/26 н.р.</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jc w:val="center"/>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Відвідування гуртків/секцій/клубів на базі закладів позашкільної освіти. </w:t>
      </w:r>
      <w:r>
        <w:rPr>
          <w:rFonts w:ascii="Times New Roman" w:eastAsia="Times New Roman" w:hAnsi="Times New Roman" w:cs="Times New Roman"/>
          <w:sz w:val="24"/>
          <w:szCs w:val="24"/>
        </w:rPr>
        <w:t xml:space="preserve">Описати розподіл респондентів (Рис. 32).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32. Розподіл респондентів за станом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Відвідування гуртків/секцій/клубів на базі школи. </w:t>
      </w:r>
      <w:r>
        <w:rPr>
          <w:rFonts w:ascii="Times New Roman" w:eastAsia="Times New Roman" w:hAnsi="Times New Roman" w:cs="Times New Roman"/>
          <w:sz w:val="24"/>
          <w:szCs w:val="24"/>
        </w:rPr>
        <w:t xml:space="preserve">Описати розподіл респондентів (Рис. 33).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33. Розподіл респондентів за станом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b/>
          <w:bCs/>
          <w:color w:val="1C4587"/>
          <w:sz w:val="24"/>
          <w:szCs w:val="24"/>
        </w:rPr>
      </w:pPr>
    </w:p>
    <w:p w:rsidR="002F3A3D" w:rsidRDefault="008028DE">
      <w:pPr>
        <w:numPr>
          <w:ilvl w:val="0"/>
          <w:numId w:val="21"/>
        </w:numPr>
        <w:spacing w:line="240" w:lineRule="auto"/>
        <w:jc w:val="both"/>
        <w:rPr>
          <w:rFonts w:ascii="Times New Roman" w:eastAsia="Times New Roman" w:hAnsi="Times New Roman" w:cs="Times New Roman"/>
          <w:b/>
          <w:bCs/>
          <w:color w:val="1C4587"/>
          <w:sz w:val="24"/>
          <w:szCs w:val="24"/>
          <w:shd w:val="clear" w:color="auto" w:fill="C9DAF8"/>
        </w:rPr>
      </w:pPr>
      <w:r>
        <w:rPr>
          <w:rFonts w:ascii="Times New Roman" w:eastAsia="Times New Roman" w:hAnsi="Times New Roman" w:cs="Times New Roman"/>
          <w:b/>
          <w:bCs/>
          <w:color w:val="1C4587"/>
          <w:sz w:val="24"/>
          <w:szCs w:val="24"/>
          <w:shd w:val="clear" w:color="auto" w:fill="C9DAF8"/>
        </w:rPr>
        <w:t>Випускники ЗЗСО громади (студенти закладів професійної, фахової передвищої та вищої освіти віком 14–22 років)</w:t>
      </w:r>
    </w:p>
    <w:p w:rsidR="002F3A3D" w:rsidRDefault="002F3A3D">
      <w:pPr>
        <w:spacing w:line="240" w:lineRule="auto"/>
        <w:jc w:val="center"/>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Стать. </w:t>
      </w:r>
      <w:r>
        <w:rPr>
          <w:rFonts w:ascii="Times New Roman" w:eastAsia="Times New Roman" w:hAnsi="Times New Roman" w:cs="Times New Roman"/>
          <w:sz w:val="24"/>
          <w:szCs w:val="24"/>
        </w:rPr>
        <w:t xml:space="preserve">Описати розподіл респондентів  (Рис. 34).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34. Розподіл респондентів за статтю</w:t>
      </w:r>
    </w:p>
    <w:p w:rsidR="002F3A3D" w:rsidRDefault="008028DE">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Вік. </w:t>
      </w:r>
      <w:r>
        <w:rPr>
          <w:rFonts w:ascii="Times New Roman" w:eastAsia="Times New Roman" w:hAnsi="Times New Roman" w:cs="Times New Roman"/>
          <w:sz w:val="24"/>
          <w:szCs w:val="24"/>
        </w:rPr>
        <w:t xml:space="preserve">Описати розподіл респондентів (Рис. 35).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35. Розподіл респондентів за віком</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spacing w:line="240" w:lineRule="auto"/>
        <w:rPr>
          <w:rFonts w:ascii="Times New Roman" w:eastAsia="Times New Roman" w:hAnsi="Times New Roman" w:cs="Times New Roman"/>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Форма здобуття освіти.  </w:t>
      </w:r>
      <w:r>
        <w:rPr>
          <w:rFonts w:ascii="Times New Roman" w:eastAsia="Times New Roman" w:hAnsi="Times New Roman" w:cs="Times New Roman"/>
          <w:sz w:val="24"/>
          <w:szCs w:val="24"/>
        </w:rPr>
        <w:t xml:space="preserve">Описати розподіл респондентів (Рис. 36). </w:t>
      </w:r>
    </w:p>
    <w:p w:rsidR="002F3A3D" w:rsidRDefault="008028DE">
      <w:pPr>
        <w:widowControl w:val="0"/>
        <w:spacing w:before="24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Рисунок 36. Розподіл респондентів за формою здобуття освіти</w:t>
      </w:r>
    </w:p>
    <w:p w:rsidR="002F3A3D" w:rsidRDefault="008028DE">
      <w:pPr>
        <w:widowControl w:val="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rPr>
          <w:rFonts w:ascii="Times New Roman" w:eastAsia="Times New Roman" w:hAnsi="Times New Roman" w:cs="Times New Roman"/>
          <w:b/>
          <w:bCs/>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Досвід відвідування гуртків/секцій/клубів на базі закладів позашкільної освіти. </w:t>
      </w:r>
      <w:r>
        <w:rPr>
          <w:rFonts w:ascii="Times New Roman" w:eastAsia="Times New Roman" w:hAnsi="Times New Roman" w:cs="Times New Roman"/>
          <w:sz w:val="24"/>
          <w:szCs w:val="24"/>
        </w:rPr>
        <w:t xml:space="preserve">Описати розподіл респондентів (Рис. 37).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37. Розподіл респондентів за досвідом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2F3A3D">
      <w:pPr>
        <w:widowControl w:val="0"/>
        <w:rPr>
          <w:rFonts w:ascii="Times New Roman" w:eastAsia="Times New Roman" w:hAnsi="Times New Roman" w:cs="Times New Roman"/>
          <w:b/>
          <w:bCs/>
          <w:color w:val="FF0000"/>
          <w:sz w:val="24"/>
          <w:szCs w:val="24"/>
        </w:rPr>
      </w:pPr>
    </w:p>
    <w:p w:rsidR="002F3A3D" w:rsidRDefault="008028DE">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Досвід відвідування гуртків/секцій/клубів на базі школи. </w:t>
      </w:r>
      <w:r>
        <w:rPr>
          <w:rFonts w:ascii="Times New Roman" w:eastAsia="Times New Roman" w:hAnsi="Times New Roman" w:cs="Times New Roman"/>
          <w:sz w:val="24"/>
          <w:szCs w:val="24"/>
        </w:rPr>
        <w:t xml:space="preserve">Описати розподіл респондентів (Рис. 38). </w:t>
      </w:r>
    </w:p>
    <w:p w:rsidR="002F3A3D" w:rsidRDefault="008028DE">
      <w:pPr>
        <w:widowControl w:val="0"/>
        <w:spacing w:before="24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Рисунок 38. Розподіл респондентів за досвідом </w:t>
      </w:r>
    </w:p>
    <w:p w:rsidR="002F3A3D" w:rsidRDefault="008028DE">
      <w:pPr>
        <w:widowControl w:val="0"/>
        <w:jc w:val="righ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відвідування гуртків/секцій/клубів на базі закладів позашкільної освіти</w:t>
      </w:r>
    </w:p>
    <w:p w:rsidR="002F3A3D" w:rsidRDefault="008028DE">
      <w:pPr>
        <w:widowControl w:val="0"/>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FF0000"/>
          <w:sz w:val="24"/>
          <w:szCs w:val="24"/>
        </w:rPr>
        <w:t>ДІАГРАМА з Google Форми</w:t>
      </w:r>
    </w:p>
    <w:p w:rsidR="002F3A3D" w:rsidRDefault="008028DE">
      <w:pPr>
        <w:pStyle w:val="a3"/>
        <w:rPr>
          <w:rFonts w:ascii="Times New Roman" w:eastAsia="Times New Roman" w:hAnsi="Times New Roman" w:cs="Times New Roman"/>
          <w:b/>
          <w:bCs/>
          <w:color w:val="073763"/>
          <w:sz w:val="24"/>
          <w:szCs w:val="24"/>
        </w:rPr>
      </w:pPr>
      <w:bookmarkStart w:id="4" w:name="_gorrvlyd107h" w:colFirst="0" w:colLast="0"/>
      <w:bookmarkEnd w:id="4"/>
      <w:r>
        <w:rPr>
          <w:rFonts w:ascii="Times New Roman" w:eastAsia="Times New Roman" w:hAnsi="Times New Roman" w:cs="Times New Roman"/>
          <w:b/>
          <w:bCs/>
          <w:color w:val="073763"/>
          <w:sz w:val="24"/>
          <w:szCs w:val="24"/>
        </w:rPr>
        <w:t>БЛОК 1. КОНТЕКСТ ПРОФОРІЄНТАЦІЇ</w:t>
      </w:r>
    </w:p>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1.1. Джерела впливу на професійне самовизначення</w:t>
      </w:r>
    </w:p>
    <w:p w:rsidR="002F3A3D" w:rsidRDefault="002F3A3D">
      <w:pPr>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джерел впливу на професійне самовизначення представлені у табл. 2.</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 Загальна пріоритетність профорієнтації, %</w:t>
      </w:r>
      <w:r>
        <w:rPr>
          <w:rFonts w:ascii="Times New Roman" w:eastAsia="Times New Roman" w:hAnsi="Times New Roman" w:cs="Times New Roman"/>
          <w:b/>
          <w:bCs/>
          <w:sz w:val="24"/>
          <w:szCs w:val="24"/>
        </w:rPr>
        <w:tab/>
      </w:r>
    </w:p>
    <w:tbl>
      <w:tblPr>
        <w:tblStyle w:val="a7"/>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 Вашу думку, найбільше впливає на вибір професії сучасної молоді?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 Вашу думку, найбільше впливає на вибір професії сучасної молоді?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 Вашу думку, найбільше впливає на вибір професії Вашої дитини?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 Вашу думку, найбільше впливає на вибір професії сучасної молоді?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найбільше впливає на твій вибір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rPr>
                <w:rFonts w:ascii="Times New Roman" w:eastAsia="Times New Roman" w:hAnsi="Times New Roman" w:cs="Times New Roman"/>
                <w:sz w:val="16"/>
                <w:szCs w:val="16"/>
              </w:rPr>
            </w:pPr>
            <w:r>
              <w:rPr>
                <w:rFonts w:ascii="Times New Roman" w:eastAsia="Times New Roman" w:hAnsi="Times New Roman" w:cs="Times New Roman"/>
                <w:sz w:val="16"/>
                <w:szCs w:val="16"/>
              </w:rPr>
              <w:t>Хто або що найбільше вплинув на Ваш вибір професії? (Оберіть до 3 варіантів відповіді)</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Родина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Друзі / однолітки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Учителі/педагоги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Практичний психолог</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Соціальні мережі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Популярні </w:t>
            </w:r>
            <w:proofErr w:type="spellStart"/>
            <w:r>
              <w:rPr>
                <w:rFonts w:ascii="Times New Roman" w:eastAsia="Times New Roman" w:hAnsi="Times New Roman" w:cs="Times New Roman"/>
                <w:sz w:val="16"/>
                <w:szCs w:val="16"/>
              </w:rPr>
              <w:t>блогери</w:t>
            </w:r>
            <w:proofErr w:type="spellEnd"/>
            <w:r>
              <w:rPr>
                <w:rFonts w:ascii="Times New Roman" w:eastAsia="Times New Roman" w:hAnsi="Times New Roman" w:cs="Times New Roman"/>
                <w:sz w:val="16"/>
                <w:szCs w:val="16"/>
              </w:rPr>
              <w:t xml:space="preserve"> / </w:t>
            </w:r>
            <w:proofErr w:type="spellStart"/>
            <w:r>
              <w:rPr>
                <w:rFonts w:ascii="Times New Roman" w:eastAsia="Times New Roman" w:hAnsi="Times New Roman" w:cs="Times New Roman"/>
                <w:sz w:val="16"/>
                <w:szCs w:val="16"/>
              </w:rPr>
              <w:t>інфлюенсери</w:t>
            </w:r>
            <w:proofErr w:type="spellEnd"/>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Власний досвід або хобі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заходи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Позашкільна освіта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 </w:t>
      </w:r>
      <w:r>
        <w:rPr>
          <w:rFonts w:ascii="Times New Roman" w:eastAsia="Times New Roman" w:hAnsi="Times New Roman" w:cs="Times New Roman"/>
          <w:i/>
          <w:iCs/>
          <w:color w:val="FF00FF"/>
          <w:sz w:val="24"/>
          <w:szCs w:val="24"/>
        </w:rPr>
        <w:t>(Після заповнення звіту всі подані настанови необхідно видалити.)</w:t>
      </w:r>
    </w:p>
    <w:p w:rsidR="002F3A3D" w:rsidRDefault="002F3A3D">
      <w:pPr>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 Джерела поінформованості дітей та підлітків про професії</w:t>
      </w:r>
    </w:p>
    <w:p w:rsidR="002F3A3D" w:rsidRDefault="002F3A3D">
      <w:pPr>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джерел поінформованості дітей та підлітків про професії представлені у табл. 3.</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 Джерела поінформованості молоді про професії, %</w:t>
      </w:r>
      <w:r>
        <w:rPr>
          <w:rFonts w:ascii="Times New Roman" w:eastAsia="Times New Roman" w:hAnsi="Times New Roman" w:cs="Times New Roman"/>
          <w:b/>
          <w:bCs/>
          <w:sz w:val="24"/>
          <w:szCs w:val="24"/>
        </w:rPr>
        <w:tab/>
      </w:r>
    </w:p>
    <w:tbl>
      <w:tblPr>
        <w:tblStyle w:val="a8"/>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645"/>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 яких джерел, на Вашу думку, діти та підлітки найчастіше отримують інформацію про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 яких джерел, на Вашу думку, діти та підлітки найчастіше отримують інформацію про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Звідки Ваша дитина найчастіше дізнається інформацію про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 яких джерел, на Вашу думку, діти та підлітки найчастіше отримують інформацію про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Звідки ти найчастіше отримуєш інформацію про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джерела інформації про професії Ви використовували, обираючи свою майбутню професію? (Оберіть до 3 варіантів відповіді)</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Соціальні мережі (</w:t>
            </w:r>
            <w:proofErr w:type="spellStart"/>
            <w:r>
              <w:rPr>
                <w:rFonts w:ascii="Times New Roman" w:eastAsia="Times New Roman" w:hAnsi="Times New Roman" w:cs="Times New Roman"/>
                <w:sz w:val="16"/>
                <w:szCs w:val="16"/>
              </w:rPr>
              <w:t>Instagram</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TikTok</w:t>
            </w:r>
            <w:proofErr w:type="spellEnd"/>
            <w:r>
              <w:rPr>
                <w:rFonts w:ascii="Times New Roman" w:eastAsia="Times New Roman" w:hAnsi="Times New Roman" w:cs="Times New Roman"/>
                <w:sz w:val="16"/>
                <w:szCs w:val="16"/>
              </w:rPr>
              <w:t>, YouTube тощо)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сайти / онлайн-тести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Інтернет у </w:t>
            </w:r>
            <w:r>
              <w:rPr>
                <w:rFonts w:ascii="Times New Roman" w:eastAsia="Times New Roman" w:hAnsi="Times New Roman" w:cs="Times New Roman"/>
                <w:sz w:val="16"/>
                <w:szCs w:val="16"/>
              </w:rPr>
              <w:lastRenderedPageBreak/>
              <w:t>цілому</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Шкільні уроки / виховні години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заходи (ярмарки професій, зустрічі з роботодавцями)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Спілкування з родиною</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Спілкування з друзями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Спілкування з учителями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Екскурсії / стажування на підприємства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sz w:val="20"/>
                <w:szCs w:val="20"/>
              </w:rPr>
            </w:pPr>
            <w:r>
              <w:rPr>
                <w:rFonts w:ascii="Times New Roman" w:eastAsia="Times New Roman" w:hAnsi="Times New Roman" w:cs="Times New Roman"/>
                <w:sz w:val="16"/>
                <w:szCs w:val="16"/>
              </w:rPr>
              <w:t>Інше</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6" w:space="0" w:color="000000"/>
            </w:tcBorders>
            <w:shd w:val="clear" w:color="auto" w:fill="auto"/>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 </w:t>
      </w:r>
      <w:r>
        <w:rPr>
          <w:rFonts w:ascii="Times New Roman" w:eastAsia="Times New Roman" w:hAnsi="Times New Roman" w:cs="Times New Roman"/>
          <w:i/>
          <w:iCs/>
          <w:color w:val="FF00FF"/>
          <w:sz w:val="24"/>
          <w:szCs w:val="24"/>
        </w:rPr>
        <w:t>(Після заповнення звіту всі подані настанови необхідно видалити.)</w:t>
      </w:r>
    </w:p>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Пріоритети при виборі професії</w:t>
      </w:r>
    </w:p>
    <w:p w:rsidR="002F3A3D" w:rsidRDefault="002F3A3D">
      <w:pPr>
        <w:ind w:firstLine="720"/>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пріоритетів при виборі професії представлені у табл. 4.</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4. Пріоритети при виборі професії, %</w:t>
      </w:r>
      <w:r>
        <w:rPr>
          <w:rFonts w:ascii="Times New Roman" w:eastAsia="Times New Roman" w:hAnsi="Times New Roman" w:cs="Times New Roman"/>
          <w:b/>
          <w:bCs/>
          <w:sz w:val="24"/>
          <w:szCs w:val="24"/>
        </w:rPr>
        <w:tab/>
      </w:r>
    </w:p>
    <w:tbl>
      <w:tblPr>
        <w:tblStyle w:val="a9"/>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є пріоритетом для молоді при виборі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є пріоритетом для молоді при виборі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є пріоритетом для Вашої дитини при виборі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є пріоритетом для молоді при виборі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для тебе є пріоритетом у виборі професії? (Оберіть до 3 варіантів відповіді)</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було пріоритетом для Вас під час вибору професії? (Оберіть до 3 варіантів відповіді)</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Рівень заробітної плати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Можливість знайти роботу</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Інтерес до професії / самореалізація</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Престижність професії</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Можливість працювати дистанційно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Безпечні умови праці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Кар’єрний ріст</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Можливість працювати за кордоном</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 </w:t>
      </w:r>
      <w:r>
        <w:rPr>
          <w:rFonts w:ascii="Times New Roman" w:eastAsia="Times New Roman" w:hAnsi="Times New Roman" w:cs="Times New Roman"/>
          <w:i/>
          <w:iCs/>
          <w:color w:val="FF00FF"/>
          <w:sz w:val="24"/>
          <w:szCs w:val="24"/>
        </w:rPr>
        <w:t>(Після заповнення звіту всі подані настанови необхідно видалити.)</w:t>
      </w:r>
    </w:p>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 Фактори, які впливають на вибір професії</w:t>
      </w:r>
    </w:p>
    <w:p w:rsidR="002F3A3D" w:rsidRDefault="002F3A3D">
      <w:pPr>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факторів, які впливають на вибір професії, представлені у табл. 5.</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5. Фактори, які впливають на вибір професії, %</w:t>
      </w:r>
      <w:r>
        <w:rPr>
          <w:rFonts w:ascii="Times New Roman" w:eastAsia="Times New Roman" w:hAnsi="Times New Roman" w:cs="Times New Roman"/>
          <w:b/>
          <w:bCs/>
          <w:sz w:val="24"/>
          <w:szCs w:val="24"/>
        </w:rPr>
        <w:tab/>
      </w:r>
    </w:p>
    <w:tbl>
      <w:tblPr>
        <w:tblStyle w:val="aa"/>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 вашу думку, найбільше впливають на вибір молодими людьми майбутньої професії? (Виберіть до 3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 вашу думку, найбільше впливають на вибір молодими людьми майбутньої професії? (Виберіть до 3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 Вашу думку, впливають на вибір Вашою дитиною майбутньої професії? (Оберіть до 3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 вашу думку, найбільше впливають на вибір молодими людьми професії у вашій сфері? (Виберіть до 3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найбільше впливають на твій вибір майбутньої професії? (Оберіть до 3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чинники найбільше вплинули на Ваш вибір професії? (Оберіть до 3 варіантів відповіді)</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Особисті здібності / таланти</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Рівень заробітної плати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Попит на ринку праці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Тривалість та вартість навчання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Приклад успішних знайомих</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Поради батьків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Поради вчителів / педагогів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Інформація з Інтернету</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Умови праці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Можливість кар’єрного росту</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заходи (консультації, зустрічі з роботодавцями, тести)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lastRenderedPageBreak/>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 </w:t>
      </w:r>
      <w:r>
        <w:rPr>
          <w:rFonts w:ascii="Times New Roman" w:eastAsia="Times New Roman" w:hAnsi="Times New Roman" w:cs="Times New Roman"/>
          <w:i/>
          <w:iCs/>
          <w:color w:val="FF00FF"/>
          <w:sz w:val="24"/>
          <w:szCs w:val="24"/>
        </w:rPr>
        <w:t>(Після заповнення звіту всі подані настанови необхідно видалити.)</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Зв’язок профорієнтації з реформою старшої профільної школи</w:t>
      </w:r>
    </w:p>
    <w:p w:rsidR="002F3A3D" w:rsidRDefault="002F3A3D">
      <w:pPr>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4 цільових аудиторій щодо визначення зв’язку профорієнтації з реформою старшої профільної школи представлені у табл. 6.</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6. Зв’язок профорієнтації з реформою старшої профільної школи, %</w:t>
      </w:r>
      <w:r>
        <w:rPr>
          <w:rFonts w:ascii="Times New Roman" w:eastAsia="Times New Roman" w:hAnsi="Times New Roman" w:cs="Times New Roman"/>
          <w:b/>
          <w:bCs/>
          <w:sz w:val="24"/>
          <w:szCs w:val="24"/>
        </w:rPr>
        <w:tab/>
      </w:r>
    </w:p>
    <w:tbl>
      <w:tblPr>
        <w:tblStyle w:val="ab"/>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F3A3D">
        <w:trPr>
          <w:trHeight w:val="750"/>
        </w:trPr>
        <w:tc>
          <w:tcPr>
            <w:tcW w:w="180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80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80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80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80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r>
      <w:tr w:rsidR="002F3A3D">
        <w:trPr>
          <w:trHeight w:val="1328"/>
        </w:trPr>
        <w:tc>
          <w:tcPr>
            <w:tcW w:w="1805"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805"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питання профорієнтації пов’язане з реформою старшої профільної школи?</w:t>
            </w:r>
          </w:p>
        </w:tc>
        <w:tc>
          <w:tcPr>
            <w:tcW w:w="1805"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питання профорієнтації пов’язане з реформою старшої профільної школи?</w:t>
            </w:r>
          </w:p>
        </w:tc>
        <w:tc>
          <w:tcPr>
            <w:tcW w:w="1805"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питання профорієнтації пов’язане з реформою старшої профільної школи?</w:t>
            </w:r>
          </w:p>
        </w:tc>
        <w:tc>
          <w:tcPr>
            <w:tcW w:w="1805"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питання профорієнтації пов’язане з реформою старшої профільної школи?</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ні</w:t>
            </w:r>
          </w:p>
        </w:tc>
        <w:tc>
          <w:tcPr>
            <w:tcW w:w="1805"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ні</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Значною мірою</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Безпосередньо пов'язане</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знаю суть реформи</w:t>
            </w:r>
          </w:p>
        </w:tc>
        <w:tc>
          <w:tcPr>
            <w:tcW w:w="1805"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 Вплив профорієнтації на вибір  освітньої траєкторії</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впливу профорієнтації на вибір  освітньої траєкторії представлені у табл. 7.</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7. Вплив профорієнтації на вибір  освітньої траєкторії, %</w:t>
      </w:r>
      <w:r>
        <w:rPr>
          <w:rFonts w:ascii="Times New Roman" w:eastAsia="Times New Roman" w:hAnsi="Times New Roman" w:cs="Times New Roman"/>
          <w:b/>
          <w:bCs/>
          <w:sz w:val="24"/>
          <w:szCs w:val="24"/>
        </w:rPr>
        <w:tab/>
      </w:r>
    </w:p>
    <w:tbl>
      <w:tblPr>
        <w:tblStyle w:val="ac"/>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допомагає профорієнтація учням вирішити, залишатися після 9-го класу в школі чи вступати до закладу професійної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допомагає профорієнтація учням вирішити, залишатися після 9-го класу в школі чи вступати до закладу професійної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допомагає профорієнтація учням вирішити, залишатися після 9-го класу в школі чи вступати до закладу професійної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допомагає профорієнтація учням вирішити, залишатися після 9-го класу в школі чи вступати до закладу професійної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ти вважаєш, чи допомагає профорієнтація вирішити, залишатися після 9-го класу в школі чи вступати до закладу професійної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допомагає профорієнтація вирішити, залишатися після 9-го класу в школі чи вступати до закладу професійної освіти?</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Значною мірою</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Суттєво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1.7. Роль профорієнтації у збереженні молоді в громаді</w:t>
      </w:r>
    </w:p>
    <w:p w:rsidR="002F3A3D" w:rsidRDefault="002F3A3D">
      <w:pPr>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ролі профорієнтації у збереженні молоді в громаді представлені у табл. 8.</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8. Роль профорієнтації у збереженні молоді в громаді, %</w:t>
      </w:r>
      <w:r>
        <w:rPr>
          <w:rFonts w:ascii="Times New Roman" w:eastAsia="Times New Roman" w:hAnsi="Times New Roman" w:cs="Times New Roman"/>
          <w:b/>
          <w:bCs/>
          <w:sz w:val="24"/>
          <w:szCs w:val="24"/>
        </w:rPr>
        <w:tab/>
      </w:r>
    </w:p>
    <w:tbl>
      <w:tblPr>
        <w:tblStyle w:val="ad"/>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вважаєте Ви, що якісна профорієнтаційна робота у громаді сприяє тому, що молодь залишатиметься жити й працювати у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вважаєте Ви, що якісна профорієнтаційна робота у громаді сприяє тому, що молодь залишатиметься жити й працювати у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вважаєте Ви, що якісна профорієнтаційна підтримка може вплинути на те, що Ваша дитина залишиться жити й працювати у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вважаєте Ви, що якісна профорієнтаційна робота у громаді сприяє тому, що молодь залишатиметься жити й працювати у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може, на твою думку, профорієнтаційна підтримка вплинути на те, щоб ти залишився/</w:t>
            </w:r>
            <w:proofErr w:type="spellStart"/>
            <w:r>
              <w:rPr>
                <w:rFonts w:ascii="Times New Roman" w:eastAsia="Times New Roman" w:hAnsi="Times New Roman" w:cs="Times New Roman"/>
                <w:sz w:val="16"/>
                <w:szCs w:val="16"/>
              </w:rPr>
              <w:t>лась</w:t>
            </w:r>
            <w:proofErr w:type="spellEnd"/>
            <w:r>
              <w:rPr>
                <w:rFonts w:ascii="Times New Roman" w:eastAsia="Times New Roman" w:hAnsi="Times New Roman" w:cs="Times New Roman"/>
                <w:sz w:val="16"/>
                <w:szCs w:val="16"/>
              </w:rPr>
              <w:t xml:space="preserve"> жити й працювати у своїй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чи вплинула профорієнтаційна підтримка на те, що Ви залишитесь жити й працювати у своїй громаді?</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Так</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Швидше так</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Швидше 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ind w:firstLine="720"/>
        <w:jc w:val="both"/>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 Професійне самоусвідомлення</w:t>
      </w:r>
      <w:r>
        <w:rPr>
          <w:rFonts w:ascii="Times New Roman" w:eastAsia="Times New Roman" w:hAnsi="Times New Roman" w:cs="Times New Roman"/>
          <w:b/>
          <w:bCs/>
          <w:sz w:val="24"/>
          <w:szCs w:val="24"/>
        </w:rPr>
        <w:tab/>
      </w: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2 цільових аудиторій щодо стану професійного самоусвідомлення представлені у табл. 9.</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9. Професійне самоусвідомлення, %</w:t>
      </w:r>
      <w:r>
        <w:rPr>
          <w:rFonts w:ascii="Times New Roman" w:eastAsia="Times New Roman" w:hAnsi="Times New Roman" w:cs="Times New Roman"/>
          <w:b/>
          <w:bCs/>
          <w:sz w:val="24"/>
          <w:szCs w:val="24"/>
        </w:rPr>
        <w:tab/>
      </w:r>
    </w:p>
    <w:tbl>
      <w:tblPr>
        <w:tblStyle w:val="ae"/>
        <w:tblW w:w="900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3765"/>
        <w:gridCol w:w="3765"/>
      </w:tblGrid>
      <w:tr w:rsidR="002F3A3D">
        <w:trPr>
          <w:trHeight w:val="435"/>
        </w:trPr>
        <w:tc>
          <w:tcPr>
            <w:tcW w:w="147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376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3765"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750"/>
        </w:trPr>
        <w:tc>
          <w:tcPr>
            <w:tcW w:w="1470"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376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Чи ти вже визначився/</w:t>
            </w:r>
            <w:proofErr w:type="spellStart"/>
            <w:r>
              <w:rPr>
                <w:rFonts w:ascii="Times New Roman" w:eastAsia="Times New Roman" w:hAnsi="Times New Roman" w:cs="Times New Roman"/>
                <w:b/>
                <w:bCs/>
                <w:sz w:val="16"/>
                <w:szCs w:val="16"/>
              </w:rPr>
              <w:t>лась</w:t>
            </w:r>
            <w:proofErr w:type="spellEnd"/>
            <w:r>
              <w:rPr>
                <w:rFonts w:ascii="Times New Roman" w:eastAsia="Times New Roman" w:hAnsi="Times New Roman" w:cs="Times New Roman"/>
                <w:b/>
                <w:bCs/>
                <w:sz w:val="16"/>
                <w:szCs w:val="16"/>
              </w:rPr>
              <w:t xml:space="preserve"> з тим, у якій професії або сфері хочеш працювати в майбутньому?</w:t>
            </w:r>
          </w:p>
        </w:tc>
        <w:tc>
          <w:tcPr>
            <w:tcW w:w="376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Чи відповідає обрана Вами спеціальність/професія тим мріям і уявленням про майбутню професію, які Ви мали під час навчання у школі?</w:t>
            </w:r>
          </w:p>
        </w:tc>
      </w:tr>
      <w:tr w:rsidR="002F3A3D">
        <w:tc>
          <w:tcPr>
            <w:tcW w:w="1470"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w:t>
            </w:r>
          </w:p>
        </w:tc>
        <w:tc>
          <w:tcPr>
            <w:tcW w:w="3765"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765"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470"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Швидше так</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470"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Швидше ні</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470"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470"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37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Висновки:</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Учні ЗЗСО (10-18 р.)</w:t>
      </w:r>
    </w:p>
    <w:p w:rsidR="002F3A3D" w:rsidRDefault="008028DE">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b/>
          <w:bCs/>
          <w:color w:val="1C4587"/>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1. “Контекст профорієнтації”</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2F3A3D">
      <w:pPr>
        <w:rPr>
          <w:rFonts w:ascii="Times New Roman" w:eastAsia="Times New Roman" w:hAnsi="Times New Roman" w:cs="Times New Roman"/>
          <w:color w:val="FF0000"/>
          <w:sz w:val="24"/>
          <w:szCs w:val="24"/>
        </w:rPr>
      </w:pPr>
    </w:p>
    <w:p w:rsidR="002F3A3D" w:rsidRDefault="002F3A3D">
      <w:pPr>
        <w:pStyle w:val="a3"/>
        <w:rPr>
          <w:rFonts w:ascii="Times New Roman" w:eastAsia="Times New Roman" w:hAnsi="Times New Roman" w:cs="Times New Roman"/>
          <w:b/>
          <w:bCs/>
          <w:color w:val="073763"/>
          <w:sz w:val="24"/>
          <w:szCs w:val="24"/>
        </w:rPr>
      </w:pPr>
      <w:bookmarkStart w:id="5" w:name="_p3eokguzd6zp" w:colFirst="0" w:colLast="0"/>
      <w:bookmarkEnd w:id="5"/>
    </w:p>
    <w:p w:rsidR="002F3A3D" w:rsidRDefault="002F3A3D">
      <w:pPr>
        <w:pStyle w:val="a3"/>
        <w:rPr>
          <w:rFonts w:ascii="Times New Roman" w:eastAsia="Times New Roman" w:hAnsi="Times New Roman" w:cs="Times New Roman"/>
          <w:b/>
          <w:bCs/>
          <w:color w:val="073763"/>
          <w:sz w:val="24"/>
          <w:szCs w:val="24"/>
        </w:rPr>
      </w:pPr>
      <w:bookmarkStart w:id="6" w:name="_gjdhfuan5s8q" w:colFirst="0" w:colLast="0"/>
      <w:bookmarkEnd w:id="6"/>
    </w:p>
    <w:p w:rsidR="002F3A3D" w:rsidRDefault="002F3A3D">
      <w:pPr>
        <w:pStyle w:val="a3"/>
        <w:rPr>
          <w:rFonts w:ascii="Times New Roman" w:eastAsia="Times New Roman" w:hAnsi="Times New Roman" w:cs="Times New Roman"/>
          <w:b/>
          <w:bCs/>
          <w:color w:val="073763"/>
          <w:sz w:val="24"/>
          <w:szCs w:val="24"/>
        </w:rPr>
      </w:pPr>
      <w:bookmarkStart w:id="7" w:name="_arvded14dzft" w:colFirst="0" w:colLast="0"/>
      <w:bookmarkEnd w:id="7"/>
    </w:p>
    <w:p w:rsidR="002F3A3D" w:rsidRDefault="002F3A3D">
      <w:pPr>
        <w:pStyle w:val="a3"/>
        <w:rPr>
          <w:rFonts w:ascii="Times New Roman" w:eastAsia="Times New Roman" w:hAnsi="Times New Roman" w:cs="Times New Roman"/>
          <w:b/>
          <w:bCs/>
          <w:color w:val="073763"/>
          <w:sz w:val="24"/>
          <w:szCs w:val="24"/>
        </w:rPr>
      </w:pPr>
      <w:bookmarkStart w:id="8" w:name="_xhh3f4h80ir" w:colFirst="0" w:colLast="0"/>
      <w:bookmarkEnd w:id="8"/>
    </w:p>
    <w:p w:rsidR="002F3A3D" w:rsidRDefault="002F3A3D">
      <w:pPr>
        <w:pStyle w:val="a3"/>
        <w:rPr>
          <w:rFonts w:ascii="Times New Roman" w:eastAsia="Times New Roman" w:hAnsi="Times New Roman" w:cs="Times New Roman"/>
          <w:b/>
          <w:bCs/>
          <w:color w:val="073763"/>
          <w:sz w:val="24"/>
          <w:szCs w:val="24"/>
        </w:rPr>
      </w:pPr>
      <w:bookmarkStart w:id="9" w:name="_44vbpplth9as" w:colFirst="0" w:colLast="0"/>
      <w:bookmarkEnd w:id="9"/>
    </w:p>
    <w:p w:rsidR="002F3A3D" w:rsidRDefault="002F3A3D">
      <w:pPr>
        <w:pStyle w:val="a3"/>
        <w:rPr>
          <w:rFonts w:ascii="Times New Roman" w:eastAsia="Times New Roman" w:hAnsi="Times New Roman" w:cs="Times New Roman"/>
          <w:b/>
          <w:bCs/>
          <w:color w:val="073763"/>
          <w:sz w:val="24"/>
          <w:szCs w:val="24"/>
        </w:rPr>
      </w:pPr>
      <w:bookmarkStart w:id="10" w:name="_eb27nc4i6m1" w:colFirst="0" w:colLast="0"/>
      <w:bookmarkEnd w:id="10"/>
    </w:p>
    <w:p w:rsidR="002F3A3D" w:rsidRDefault="002F3A3D">
      <w:pPr>
        <w:pStyle w:val="a3"/>
        <w:rPr>
          <w:rFonts w:ascii="Times New Roman" w:eastAsia="Times New Roman" w:hAnsi="Times New Roman" w:cs="Times New Roman"/>
          <w:b/>
          <w:bCs/>
          <w:color w:val="073763"/>
          <w:sz w:val="24"/>
          <w:szCs w:val="24"/>
        </w:rPr>
      </w:pPr>
      <w:bookmarkStart w:id="11" w:name="_y6d4wm3n18jd" w:colFirst="0" w:colLast="0"/>
      <w:bookmarkEnd w:id="11"/>
    </w:p>
    <w:p w:rsidR="002F3A3D" w:rsidRDefault="002F3A3D">
      <w:pPr>
        <w:pStyle w:val="a3"/>
        <w:rPr>
          <w:rFonts w:ascii="Times New Roman" w:eastAsia="Times New Roman" w:hAnsi="Times New Roman" w:cs="Times New Roman"/>
          <w:b/>
          <w:bCs/>
          <w:color w:val="073763"/>
          <w:sz w:val="24"/>
          <w:szCs w:val="24"/>
        </w:rPr>
      </w:pPr>
      <w:bookmarkStart w:id="12" w:name="_83q96ui2755l" w:colFirst="0" w:colLast="0"/>
      <w:bookmarkEnd w:id="12"/>
    </w:p>
    <w:p w:rsidR="002F3A3D" w:rsidRDefault="002F3A3D">
      <w:pPr>
        <w:pStyle w:val="a3"/>
        <w:keepNext w:val="0"/>
        <w:keepLines w:val="0"/>
        <w:widowControl w:val="0"/>
        <w:rPr>
          <w:rFonts w:ascii="Times New Roman" w:eastAsia="Times New Roman" w:hAnsi="Times New Roman" w:cs="Times New Roman"/>
          <w:b/>
          <w:bCs/>
          <w:color w:val="073763"/>
          <w:sz w:val="24"/>
          <w:szCs w:val="24"/>
        </w:rPr>
      </w:pPr>
      <w:bookmarkStart w:id="13" w:name="_41oyc6jzn186" w:colFirst="0" w:colLast="0"/>
      <w:bookmarkEnd w:id="13"/>
    </w:p>
    <w:p w:rsidR="002F3A3D" w:rsidRDefault="002F3A3D">
      <w:pPr>
        <w:pStyle w:val="a3"/>
        <w:keepNext w:val="0"/>
        <w:keepLines w:val="0"/>
        <w:widowControl w:val="0"/>
        <w:rPr>
          <w:rFonts w:ascii="Times New Roman" w:eastAsia="Times New Roman" w:hAnsi="Times New Roman" w:cs="Times New Roman"/>
          <w:b/>
          <w:bCs/>
          <w:color w:val="073763"/>
          <w:sz w:val="24"/>
          <w:szCs w:val="24"/>
        </w:rPr>
      </w:pPr>
      <w:bookmarkStart w:id="14" w:name="_q44eorjllbh2" w:colFirst="0" w:colLast="0"/>
      <w:bookmarkEnd w:id="14"/>
    </w:p>
    <w:p w:rsidR="002F3A3D" w:rsidRDefault="008028DE">
      <w:pPr>
        <w:pStyle w:val="a3"/>
        <w:keepNext w:val="0"/>
        <w:keepLines w:val="0"/>
        <w:widowControl w:val="0"/>
        <w:rPr>
          <w:rFonts w:ascii="Times New Roman" w:eastAsia="Times New Roman" w:hAnsi="Times New Roman" w:cs="Times New Roman"/>
          <w:b/>
          <w:bCs/>
          <w:color w:val="073763"/>
          <w:sz w:val="24"/>
          <w:szCs w:val="24"/>
        </w:rPr>
      </w:pPr>
      <w:bookmarkStart w:id="15" w:name="_pmg7r1u9d45j" w:colFirst="0" w:colLast="0"/>
      <w:bookmarkEnd w:id="15"/>
      <w:r>
        <w:rPr>
          <w:rFonts w:ascii="Times New Roman" w:eastAsia="Times New Roman" w:hAnsi="Times New Roman" w:cs="Times New Roman"/>
          <w:b/>
          <w:bCs/>
          <w:color w:val="073763"/>
          <w:sz w:val="24"/>
          <w:szCs w:val="24"/>
        </w:rPr>
        <w:t>БЛОК 2. ОРГАНІЗАЦІЯ ПРОФОРІЄНТАЦІЇ</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Загальна пріоритетність профорієнтації</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6 цільових аудиторій щодо визначення загальної пріоритетності профорієнтації у громаді представлені у табл. 10.</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10. Загальна пріоритетність профорієнтації, %</w:t>
      </w:r>
      <w:r>
        <w:rPr>
          <w:rFonts w:ascii="Times New Roman" w:eastAsia="Times New Roman" w:hAnsi="Times New Roman" w:cs="Times New Roman"/>
          <w:b/>
          <w:bCs/>
          <w:sz w:val="24"/>
          <w:szCs w:val="24"/>
        </w:rPr>
        <w:tab/>
      </w:r>
    </w:p>
    <w:tbl>
      <w:tblPr>
        <w:tblStyle w:val="af"/>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профорієнтація дітей та молоді є пріоритетною у Вашій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профорієнтація дітей та молоді є пріоритетною у Вашій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профорієнтація дітей та молоді є пріоритетною у Вашій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профорієнтація дітей та молоді є пріоритетною у Вашій громаді?</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твою думку, важлива для вашої громади допомога дітям та підліткам у виборі майбутньої професії?</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профорієнтація дітей та молоді є пріоритетною у Вашій громаді?</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Зовсім не пріоритетна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Швидше не пріоритетна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Скоріше пріоритетна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Один із ключових пріоритетів</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Наявність стратегічних документів / планування</w:t>
      </w: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4 цільових аудиторій щодо визначення наявності стратегічних документів, пов’язаних з профорієнтаційною діяльністю в громаді, представлені у табл. 11.</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11. Наявність стратегічних документів / планування, %</w:t>
      </w:r>
      <w:r>
        <w:rPr>
          <w:rFonts w:ascii="Times New Roman" w:eastAsia="Times New Roman" w:hAnsi="Times New Roman" w:cs="Times New Roman"/>
          <w:b/>
          <w:bCs/>
          <w:sz w:val="24"/>
          <w:szCs w:val="24"/>
        </w:rPr>
        <w:tab/>
      </w:r>
    </w:p>
    <w:tbl>
      <w:tblPr>
        <w:tblStyle w:val="af0"/>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2F3A3D">
        <w:trPr>
          <w:trHeight w:val="750"/>
        </w:trPr>
        <w:tc>
          <w:tcPr>
            <w:tcW w:w="180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r>
      <w:tr w:rsidR="002F3A3D">
        <w:trPr>
          <w:trHeight w:val="1328"/>
        </w:trPr>
        <w:tc>
          <w:tcPr>
            <w:tcW w:w="1805"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80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має громада затверджені документи (стратегію розвитку, програму, план дій), де профорієнтація визначена як окремий напрям?</w:t>
            </w:r>
          </w:p>
        </w:tc>
        <w:tc>
          <w:tcPr>
            <w:tcW w:w="180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має Ваш заклад освіти затверджені документи (стратегію розвитку, програму, план дій), де профорієнтація визначена як окремий напрям?</w:t>
            </w:r>
          </w:p>
        </w:tc>
        <w:tc>
          <w:tcPr>
            <w:tcW w:w="180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має школа, в якій навчається Ваша дитина, план або програму профорієнтаційної роботи?</w:t>
            </w:r>
          </w:p>
        </w:tc>
        <w:tc>
          <w:tcPr>
            <w:tcW w:w="1805"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є у вашій громаді офіційні документи або домовленості, які визначають спільну роботу закладів освіти та місцевих роботодавців у сфері профорієнтації?</w:t>
            </w:r>
          </w:p>
        </w:tc>
      </w:tr>
      <w:tr w:rsidR="002F3A3D">
        <w:tc>
          <w:tcPr>
            <w:tcW w:w="1805"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Так</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lastRenderedPageBreak/>
              <w:t>В процесі розроблення</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Ні</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805"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Важко відповісти</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80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 Інформаційні профорієнтаційні заходи / участь</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шести цільових аудиторій щодо практик проведення інформаційних профорієнтаційних заходів у громаді подано в таблиці 12.</w:t>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12. Інформаційні профорієнтаційні заходи / участь, %</w:t>
      </w:r>
      <w:r>
        <w:rPr>
          <w:rFonts w:ascii="Times New Roman" w:eastAsia="Times New Roman" w:hAnsi="Times New Roman" w:cs="Times New Roman"/>
          <w:b/>
          <w:bCs/>
          <w:sz w:val="24"/>
          <w:szCs w:val="24"/>
        </w:rPr>
        <w:tab/>
      </w:r>
    </w:p>
    <w:tbl>
      <w:tblPr>
        <w:tblStyle w:val="af1"/>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інформаційні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Вашій територіальній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інформаційні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Вашому закладі освіти?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інформаційних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брала участь Ваша дитина?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інформаційні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Вашим </w:t>
            </w:r>
            <w:proofErr w:type="spellStart"/>
            <w:r>
              <w:rPr>
                <w:rFonts w:ascii="Times New Roman" w:eastAsia="Times New Roman" w:hAnsi="Times New Roman" w:cs="Times New Roman"/>
                <w:sz w:val="16"/>
                <w:szCs w:val="16"/>
              </w:rPr>
              <w:t>підтприємством</w:t>
            </w:r>
            <w:proofErr w:type="spellEnd"/>
            <w:r>
              <w:rPr>
                <w:rFonts w:ascii="Times New Roman" w:eastAsia="Times New Roman" w:hAnsi="Times New Roman" w:cs="Times New Roman"/>
                <w:sz w:val="16"/>
                <w:szCs w:val="16"/>
              </w:rPr>
              <w:t>, установою, організацією?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інформаційних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ти брав/ла участь?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інформаційних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Ви брали участь, коли навчалися в школі?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уроки</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Тематичні лекції</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Презентації професій або галузей</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Зустрічі з фахівцями різних сфер (онлайн / офлайн)</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Зустрічі з випускниками громади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Інформаційні дні / тижні професій</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Онлайн-курси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Профорієнтаційні </w:t>
            </w:r>
            <w:proofErr w:type="spellStart"/>
            <w:r>
              <w:rPr>
                <w:rFonts w:ascii="Times New Roman" w:eastAsia="Times New Roman" w:hAnsi="Times New Roman" w:cs="Times New Roman"/>
                <w:sz w:val="16"/>
                <w:szCs w:val="16"/>
              </w:rPr>
              <w:t>вебінари</w:t>
            </w:r>
            <w:proofErr w:type="spellEnd"/>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Розповсюдження буклетів, брошур, інформаційних матеріалів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Жоден із перелічених</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 Діагностичні профорієнтаційні заходи  / участь</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шести цільових аудиторій щодо практик проведення діагностичних профорієнтаційних заходів у громаді подано в таблиці 13.</w:t>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13. Діагностичні профорієнтаційні заходи  / участь, %</w:t>
      </w:r>
      <w:r>
        <w:rPr>
          <w:rFonts w:ascii="Times New Roman" w:eastAsia="Times New Roman" w:hAnsi="Times New Roman" w:cs="Times New Roman"/>
          <w:b/>
          <w:bCs/>
          <w:sz w:val="24"/>
          <w:szCs w:val="24"/>
        </w:rPr>
        <w:tab/>
      </w:r>
    </w:p>
    <w:tbl>
      <w:tblPr>
        <w:tblStyle w:val="af2"/>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діагностичні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Вашій територіальній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діагностичні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Вашому закладі освіти?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діагностичних профорієнтаційних заходах брала участь Ваша дитина?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діагностичні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Вашим підприємством, установою, організацією?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діагностичних профорієнтаційних заходах ти брав/ла участь?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діагностичних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Ви брали участь, коли навчалися в школі?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Онлайн-тести з профорієнтації</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Тести щодо здібностей, інтересів, типів особистості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Анкети та опитування щодо професійних намірів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Консультації з психологом</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Індивідуальні консультації з кар’єрним радником / наставником</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Ведення портфоліо досягнень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Жоден із перелічених</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 Практичні профорієнтаційні заходи  / участь</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Результати опитування шести цільових аудиторій щодо практик проведення практичних профорієнтаційних заходів у громаді подано в таблиці 14.</w:t>
      </w:r>
      <w:r>
        <w:rPr>
          <w:rFonts w:ascii="Times New Roman" w:eastAsia="Times New Roman" w:hAnsi="Times New Roman" w:cs="Times New Roman"/>
          <w:b/>
          <w:bCs/>
          <w:sz w:val="24"/>
          <w:szCs w:val="24"/>
        </w:rPr>
        <w:tab/>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14. Діагностичні профорієнтаційні заходи  / участь, %</w:t>
      </w:r>
      <w:r>
        <w:rPr>
          <w:rFonts w:ascii="Times New Roman" w:eastAsia="Times New Roman" w:hAnsi="Times New Roman" w:cs="Times New Roman"/>
          <w:b/>
          <w:bCs/>
          <w:sz w:val="24"/>
          <w:szCs w:val="24"/>
        </w:rPr>
        <w:tab/>
      </w:r>
    </w:p>
    <w:tbl>
      <w:tblPr>
        <w:tblStyle w:val="af3"/>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практичні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Вашій територіальній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практичні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у Вашому закладі освіти?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практичних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брала участь Ваша дитина?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практичні профорієнтаційні заходи для дітей і </w:t>
            </w:r>
            <w:proofErr w:type="spellStart"/>
            <w:r>
              <w:rPr>
                <w:rFonts w:ascii="Times New Roman" w:eastAsia="Times New Roman" w:hAnsi="Times New Roman" w:cs="Times New Roman"/>
                <w:sz w:val="16"/>
                <w:szCs w:val="16"/>
              </w:rPr>
              <w:t>підлтіків</w:t>
            </w:r>
            <w:proofErr w:type="spellEnd"/>
            <w:r>
              <w:rPr>
                <w:rFonts w:ascii="Times New Roman" w:eastAsia="Times New Roman" w:hAnsi="Times New Roman" w:cs="Times New Roman"/>
                <w:sz w:val="16"/>
                <w:szCs w:val="16"/>
              </w:rPr>
              <w:t xml:space="preserve"> проводяться Вашим </w:t>
            </w:r>
            <w:proofErr w:type="spellStart"/>
            <w:r>
              <w:rPr>
                <w:rFonts w:ascii="Times New Roman" w:eastAsia="Times New Roman" w:hAnsi="Times New Roman" w:cs="Times New Roman"/>
                <w:sz w:val="16"/>
                <w:szCs w:val="16"/>
              </w:rPr>
              <w:t>підтприємством</w:t>
            </w:r>
            <w:proofErr w:type="spellEnd"/>
            <w:r>
              <w:rPr>
                <w:rFonts w:ascii="Times New Roman" w:eastAsia="Times New Roman" w:hAnsi="Times New Roman" w:cs="Times New Roman"/>
                <w:sz w:val="16"/>
                <w:szCs w:val="16"/>
              </w:rPr>
              <w:t>, установою, організацією?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практичних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Ви брали участь?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У яких </w:t>
            </w:r>
            <w:proofErr w:type="spellStart"/>
            <w:r>
              <w:rPr>
                <w:rFonts w:ascii="Times New Roman" w:eastAsia="Times New Roman" w:hAnsi="Times New Roman" w:cs="Times New Roman"/>
                <w:sz w:val="16"/>
                <w:szCs w:val="16"/>
              </w:rPr>
              <w:t>парктичних</w:t>
            </w:r>
            <w:proofErr w:type="spellEnd"/>
            <w:r>
              <w:rPr>
                <w:rFonts w:ascii="Times New Roman" w:eastAsia="Times New Roman" w:hAnsi="Times New Roman" w:cs="Times New Roman"/>
                <w:sz w:val="16"/>
                <w:szCs w:val="16"/>
              </w:rPr>
              <w:t xml:space="preserve"> </w:t>
            </w:r>
            <w:proofErr w:type="spellStart"/>
            <w:r>
              <w:rPr>
                <w:rFonts w:ascii="Times New Roman" w:eastAsia="Times New Roman" w:hAnsi="Times New Roman" w:cs="Times New Roman"/>
                <w:sz w:val="16"/>
                <w:szCs w:val="16"/>
              </w:rPr>
              <w:t>профорієнтацйних</w:t>
            </w:r>
            <w:proofErr w:type="spellEnd"/>
            <w:r>
              <w:rPr>
                <w:rFonts w:ascii="Times New Roman" w:eastAsia="Times New Roman" w:hAnsi="Times New Roman" w:cs="Times New Roman"/>
                <w:sz w:val="16"/>
                <w:szCs w:val="16"/>
              </w:rPr>
              <w:t xml:space="preserve"> заходах Ви брали участь, коли навчалися в школі?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Екскурсії на підприємства, установи, організації</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Майстер-класи, демонстрації професій</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Практичні заняття за участі фахівців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гуртки, клуби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Профорієнтаційні проєкти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Ярмарки професій</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Короткострокові стажування, практика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Жоден із перелічених</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 Ефективність профорієнтаційної роботи в  територіальній громаді</w:t>
      </w:r>
    </w:p>
    <w:p w:rsidR="002F3A3D" w:rsidRDefault="002F3A3D">
      <w:pPr>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ефективності профорієнтаційної роботи в  територіальній громаді подано в таблиці 15.</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(Шкала від 1 до 5, де 1 – профорієнтаційна робота  не здійснюється взагалі, а 5 – вона здійснюється максимально ефективно.)</w:t>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15. Ефективність профорієнтаційної роботи в  територіальній громаді, %</w:t>
      </w:r>
    </w:p>
    <w:tbl>
      <w:tblPr>
        <w:tblStyle w:val="af4"/>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громаді загалом?</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громаді загалом?</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громаді загалом?</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громаді загалом?</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добре у вашій громаді проводять профорієнтаційну роботу?</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добре у вашій громаді проводять профорієнтаційну роботу?</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1 -  не здійснюється взагалі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 здійснюється максимально ефективно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2.7. Ефективність профорієнтаційної роботи в закладах освіти громади</w:t>
      </w:r>
    </w:p>
    <w:p w:rsidR="002F3A3D" w:rsidRDefault="002F3A3D"/>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ефективності профорієнтаційної роботи в закладах освіти громади подано в таблиці 16.</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(Шкала від 1 до 5, де 1 – профорієнтаційна робота  не здійснюється взагалі, а 5 – вона здійснюється максимально ефективно.)</w:t>
      </w:r>
    </w:p>
    <w:p w:rsidR="002F3A3D" w:rsidRDefault="002F3A3D">
      <w:pPr>
        <w:rPr>
          <w:rFonts w:ascii="Times New Roman" w:eastAsia="Times New Roman" w:hAnsi="Times New Roman" w:cs="Times New Roman"/>
          <w:b/>
          <w:bCs/>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16. Ефективність профорієнтаційної роботи в закладах освіти громади, %</w:t>
      </w:r>
      <w:r>
        <w:rPr>
          <w:rFonts w:ascii="Times New Roman" w:eastAsia="Times New Roman" w:hAnsi="Times New Roman" w:cs="Times New Roman"/>
          <w:b/>
          <w:bCs/>
          <w:sz w:val="24"/>
          <w:szCs w:val="24"/>
        </w:rPr>
        <w:tab/>
      </w:r>
    </w:p>
    <w:tbl>
      <w:tblPr>
        <w:tblStyle w:val="af5"/>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закладах освіти громади?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закладах освіти громади?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закладах освіти громади?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ефективною, на Вашу думку, є профорієнтаційна робота в закладах освіти громади?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добре у вашій школі проводять профорієнтаційну роботу?</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добре у вашій школі проводять профорієнтаційну роботу?</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1 -  не здійснюється взагалі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 здійснюється максимально ефективно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2. “Організація профорієнтації”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b/>
          <w:bCs/>
          <w:color w:val="073763"/>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2F3A3D">
      <w:pPr>
        <w:pStyle w:val="a3"/>
        <w:rPr>
          <w:rFonts w:ascii="Times New Roman" w:eastAsia="Times New Roman" w:hAnsi="Times New Roman" w:cs="Times New Roman"/>
          <w:b/>
          <w:bCs/>
          <w:color w:val="073763"/>
          <w:sz w:val="24"/>
          <w:szCs w:val="24"/>
        </w:rPr>
      </w:pPr>
      <w:bookmarkStart w:id="16" w:name="_cy0tsl6a4nkc" w:colFirst="0" w:colLast="0"/>
      <w:bookmarkEnd w:id="16"/>
    </w:p>
    <w:p w:rsidR="002F3A3D" w:rsidRDefault="002F3A3D">
      <w:pPr>
        <w:pStyle w:val="a3"/>
        <w:rPr>
          <w:rFonts w:ascii="Times New Roman" w:eastAsia="Times New Roman" w:hAnsi="Times New Roman" w:cs="Times New Roman"/>
          <w:b/>
          <w:bCs/>
          <w:color w:val="073763"/>
          <w:sz w:val="24"/>
          <w:szCs w:val="24"/>
        </w:rPr>
      </w:pPr>
      <w:bookmarkStart w:id="17" w:name="_ler9cv348sn0" w:colFirst="0" w:colLast="0"/>
      <w:bookmarkEnd w:id="17"/>
    </w:p>
    <w:p w:rsidR="002F3A3D" w:rsidRDefault="002F3A3D">
      <w:pPr>
        <w:pStyle w:val="a3"/>
        <w:rPr>
          <w:rFonts w:ascii="Times New Roman" w:eastAsia="Times New Roman" w:hAnsi="Times New Roman" w:cs="Times New Roman"/>
          <w:b/>
          <w:bCs/>
          <w:color w:val="073763"/>
          <w:sz w:val="24"/>
          <w:szCs w:val="24"/>
        </w:rPr>
      </w:pPr>
      <w:bookmarkStart w:id="18" w:name="_lmtgwic939dd" w:colFirst="0" w:colLast="0"/>
      <w:bookmarkEnd w:id="18"/>
    </w:p>
    <w:p w:rsidR="002F3A3D" w:rsidRDefault="002F3A3D">
      <w:pPr>
        <w:pStyle w:val="a3"/>
        <w:rPr>
          <w:rFonts w:ascii="Times New Roman" w:eastAsia="Times New Roman" w:hAnsi="Times New Roman" w:cs="Times New Roman"/>
          <w:b/>
          <w:bCs/>
          <w:color w:val="073763"/>
          <w:sz w:val="24"/>
          <w:szCs w:val="24"/>
        </w:rPr>
      </w:pPr>
      <w:bookmarkStart w:id="19" w:name="_i2xz1oyl3qr3" w:colFirst="0" w:colLast="0"/>
      <w:bookmarkEnd w:id="19"/>
    </w:p>
    <w:p w:rsidR="002F3A3D" w:rsidRDefault="002F3A3D">
      <w:pPr>
        <w:pStyle w:val="a3"/>
        <w:rPr>
          <w:rFonts w:ascii="Times New Roman" w:eastAsia="Times New Roman" w:hAnsi="Times New Roman" w:cs="Times New Roman"/>
          <w:b/>
          <w:bCs/>
          <w:color w:val="073763"/>
          <w:sz w:val="24"/>
          <w:szCs w:val="24"/>
        </w:rPr>
      </w:pPr>
      <w:bookmarkStart w:id="20" w:name="_4w40zuk3x0pr" w:colFirst="0" w:colLast="0"/>
      <w:bookmarkEnd w:id="20"/>
    </w:p>
    <w:p w:rsidR="002F3A3D" w:rsidRDefault="002F3A3D">
      <w:pPr>
        <w:pStyle w:val="a3"/>
        <w:keepNext w:val="0"/>
        <w:rPr>
          <w:rFonts w:ascii="Times New Roman" w:eastAsia="Times New Roman" w:hAnsi="Times New Roman" w:cs="Times New Roman"/>
          <w:b/>
          <w:bCs/>
          <w:color w:val="073763"/>
          <w:sz w:val="24"/>
          <w:szCs w:val="24"/>
        </w:rPr>
      </w:pPr>
      <w:bookmarkStart w:id="21" w:name="_rgl8qvut1016" w:colFirst="0" w:colLast="0"/>
      <w:bookmarkEnd w:id="21"/>
    </w:p>
    <w:p w:rsidR="002F3A3D" w:rsidRDefault="008028DE">
      <w:pPr>
        <w:pStyle w:val="a3"/>
        <w:keepNext w:val="0"/>
        <w:rPr>
          <w:rFonts w:ascii="Times New Roman" w:eastAsia="Times New Roman" w:hAnsi="Times New Roman" w:cs="Times New Roman"/>
          <w:b/>
          <w:bCs/>
          <w:color w:val="073763"/>
          <w:sz w:val="24"/>
          <w:szCs w:val="24"/>
        </w:rPr>
      </w:pPr>
      <w:bookmarkStart w:id="22" w:name="_obrel0i8n8lt" w:colFirst="0" w:colLast="0"/>
      <w:bookmarkEnd w:id="22"/>
      <w:r>
        <w:rPr>
          <w:rFonts w:ascii="Times New Roman" w:eastAsia="Times New Roman" w:hAnsi="Times New Roman" w:cs="Times New Roman"/>
          <w:b/>
          <w:bCs/>
          <w:color w:val="073763"/>
          <w:sz w:val="24"/>
          <w:szCs w:val="24"/>
        </w:rPr>
        <w:t>БЛОК 3. ІНКЛЮЗІЯ ТА ГЕНДЕРНА РІВНІСТЬ</w:t>
      </w: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Врахування потреб різних категорій дітей</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Результати опитування шести цільових аудиторій щодо визначення стану врахування у профорієнтаційній роботі громади потреб різних категорій дітей  подано в таблиці 17.</w:t>
      </w:r>
      <w:r>
        <w:rPr>
          <w:rFonts w:ascii="Times New Roman" w:eastAsia="Times New Roman" w:hAnsi="Times New Roman" w:cs="Times New Roman"/>
          <w:b/>
          <w:bCs/>
          <w:sz w:val="24"/>
          <w:szCs w:val="24"/>
        </w:rPr>
        <w:t xml:space="preserve"> </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17. Врахування потреб різних категорій дітей, %</w:t>
      </w:r>
      <w:r>
        <w:rPr>
          <w:rFonts w:ascii="Times New Roman" w:eastAsia="Times New Roman" w:hAnsi="Times New Roman" w:cs="Times New Roman"/>
          <w:b/>
          <w:bCs/>
          <w:sz w:val="24"/>
          <w:szCs w:val="24"/>
        </w:rPr>
        <w:tab/>
      </w:r>
    </w:p>
    <w:tbl>
      <w:tblPr>
        <w:tblStyle w:val="af6"/>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враховують профорієнтаційні заходи громади потреби всіх категорій дітей (зокрема дітей з особливими освітніми потребами, дітей з родин ВПО, дітей у складних життєвих обставинах)?</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враховують профорієнтаційні заходи у вашому закладі потреби всіх категорій дітей (зокрема дітей з особливими освітніми потребами, дітей з родин ВПО, дітей у складних життєвих обставинах)?</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забезпечує школа Вашої дитини рівні можливості для участі в профорієнтаційних заходах для всіх учнів, зокрема для дітей з особливими освітніми потребами та інших вразливих груп?</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враховують, на Вашу думку, профорієнтаційні заходи громади потреби різних категорій дітей, зокрема дітей з особливими освітніми потребами та інших вразливих груп?</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можуть усі учні вашої школи, у тому числі ті, хто має особливі освітні потреби, брати участь у профорієнтаційних заходах на рівних умовах?</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враховували профорієнтаційні заходи у Вашій школі потреби всіх категорій учнів, зокрема дітей з особливими освітніми потребами та інших вразливих груп?</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 повністю</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Гендерна рівність у профорієнтації</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стану забезпечення гендерної рівності у профорієнтаційній роботі в громаді  подано в таблиці 18.</w:t>
      </w:r>
      <w:r>
        <w:rPr>
          <w:rFonts w:ascii="Times New Roman" w:eastAsia="Times New Roman" w:hAnsi="Times New Roman" w:cs="Times New Roman"/>
          <w:b/>
          <w:bCs/>
          <w:sz w:val="24"/>
          <w:szCs w:val="24"/>
        </w:rPr>
        <w:t xml:space="preserve"> </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18. Гендерна рівність у профорієнтації, %</w:t>
      </w:r>
      <w:r>
        <w:rPr>
          <w:rFonts w:ascii="Times New Roman" w:eastAsia="Times New Roman" w:hAnsi="Times New Roman" w:cs="Times New Roman"/>
          <w:b/>
          <w:bCs/>
          <w:sz w:val="24"/>
          <w:szCs w:val="24"/>
        </w:rPr>
        <w:tab/>
      </w:r>
    </w:p>
    <w:tbl>
      <w:tblPr>
        <w:tblStyle w:val="af7"/>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проводяться у громаді заходи, спрямовані на подолання гендерних стереотипів при виборі професії?</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проводить Ваш заклад освіти заходи для подолання гендерних стереотипів при виборі професії?</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проводять у школі заходи, що допомагають уникати гендерних стереотипів у виборі професії?</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здійснюєте Ваше підприємство / установа / організація заходи, що сприяють подоланню гендерних стереотипів у професійній діяльності?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проводять у вашій школі заходи, на яких пояснюють, що будь-яку професію можуть обирати і хлопці, і дівчата, незалежно від статі?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проводили у Вашій школі заходи, на яких пояснюють, що будь-яку професію можуть обирати і хлопці, і дівчата, незалежно від статі?</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 постійно</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 але недостатньо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Основні бар’єри рівноправної участі</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основних бар’єрів рівноправної участі дітей та підлітків у профорієнтаційних заходах громади  подано в таблиці 19.</w:t>
      </w:r>
      <w:r>
        <w:rPr>
          <w:rFonts w:ascii="Times New Roman" w:eastAsia="Times New Roman" w:hAnsi="Times New Roman" w:cs="Times New Roman"/>
          <w:b/>
          <w:bCs/>
          <w:sz w:val="24"/>
          <w:szCs w:val="24"/>
        </w:rPr>
        <w:t xml:space="preserve"> </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19. Основні бар’єри рівноправної участі, %</w:t>
      </w:r>
      <w:r>
        <w:rPr>
          <w:rFonts w:ascii="Times New Roman" w:eastAsia="Times New Roman" w:hAnsi="Times New Roman" w:cs="Times New Roman"/>
          <w:b/>
          <w:bCs/>
          <w:sz w:val="24"/>
          <w:szCs w:val="24"/>
        </w:rPr>
        <w:tab/>
      </w:r>
    </w:p>
    <w:tbl>
      <w:tblPr>
        <w:tblStyle w:val="af8"/>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бар’єри, на Вашу думку, заважають рівноправній участі дітей та підлітків у профорієнтаційних заходах?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бар’єри, на Вашу думку, заважають учням Вашого закладу освіти брати участь у профорієнтаційних заходах на рівних умовах?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перешкоди, на Вашу думку, заважають рівноправній участі дітей та підлітків у профорієнтаційних заходах?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бар’єри Ви спостерігаєте (або припускаєте) щодо рівної участі дітей та підлітків у профорієнтаційних заходах?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твою думку, заважає всім учням брати участь у профорієнтаційних заходах на рівних умовах?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бар’єри Ви спостерігали у Вашій школі щодо рівного доступу усіх учнів до профорієнтаційних заходів?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Недостатня підтримка педагогів</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Гендерні або соціальні стереотипи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Обмеженість підтримки або залучення батьків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Обмеженість ресурсів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Недоступність для дітей з особливими освітніми потребами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Територіальна недоступність / відсутність транспорту</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Низька поінформованість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Все добре, перешкод немає</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Відкритість місцевих роботодавців до інклюзивних практик</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місцевих роботодавців щодо визначення їхньої відкритості до інклюзивних практик у профорієнтаційній роботі в громаді  подано в таблиці 20.</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(Шкала від 1 до 5, де 1 — зовсім не готові, а 5 — повністю готові.)</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20. Відкритість місцевих роботодавців до інклюзивних практик, %</w:t>
      </w:r>
      <w:r>
        <w:rPr>
          <w:rFonts w:ascii="Times New Roman" w:eastAsia="Times New Roman" w:hAnsi="Times New Roman" w:cs="Times New Roman"/>
          <w:b/>
          <w:bCs/>
          <w:sz w:val="24"/>
          <w:szCs w:val="24"/>
        </w:rPr>
        <w:tab/>
      </w:r>
    </w:p>
    <w:tbl>
      <w:tblPr>
        <w:tblStyle w:val="af9"/>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F3A3D">
        <w:trPr>
          <w:trHeight w:val="255"/>
        </w:trPr>
        <w:tc>
          <w:tcPr>
            <w:tcW w:w="451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451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r>
      <w:tr w:rsidR="002F3A3D">
        <w:trPr>
          <w:trHeight w:val="585"/>
        </w:trPr>
        <w:tc>
          <w:tcPr>
            <w:tcW w:w="4514"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451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Ваше підприємство/установа/організація готове розглядати можливість участі дітей та підлітків з особливими освітніми потребами (ООП) у короткострокових стажуваннях?</w:t>
            </w:r>
          </w:p>
        </w:tc>
      </w:tr>
      <w:tr w:rsidR="002F3A3D">
        <w:tc>
          <w:tcPr>
            <w:tcW w:w="45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1 - зовсім не готові</w:t>
            </w:r>
          </w:p>
        </w:tc>
        <w:tc>
          <w:tcPr>
            <w:tcW w:w="451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5 - повністю готові</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цільової аудиторії.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Можливості місцевих роботодавців щодо підтримки участі учнів з ООП в профорієнтаційних заходах</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місцевих роботодавців щодо визначення їхньої можливості підтримки участі учнів з ООП у профорієнтаційних заходах подано в таблиці 21.</w:t>
      </w:r>
      <w:r>
        <w:rPr>
          <w:rFonts w:ascii="Times New Roman" w:eastAsia="Times New Roman" w:hAnsi="Times New Roman" w:cs="Times New Roman"/>
          <w:b/>
          <w:bCs/>
          <w:sz w:val="24"/>
          <w:szCs w:val="24"/>
        </w:rPr>
        <w:t xml:space="preserve">  </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21. Можливості місцевих роботодавців щодо підтримки участі учнів з ООП в профорієнтаційних заходах, %</w:t>
      </w:r>
    </w:p>
    <w:tbl>
      <w:tblPr>
        <w:tblStyle w:val="afa"/>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F3A3D">
        <w:trPr>
          <w:trHeight w:val="255"/>
        </w:trPr>
        <w:tc>
          <w:tcPr>
            <w:tcW w:w="451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451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r>
      <w:tr w:rsidR="002F3A3D">
        <w:trPr>
          <w:trHeight w:val="585"/>
        </w:trPr>
        <w:tc>
          <w:tcPr>
            <w:tcW w:w="4514"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451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Ваша організація потенційно готова забезпечити для участі дітей та підлітків з ООП у профорієнтаційних заходах? (можна обрати декілька варіантів)</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Адаптація завдань за змістом і складністю</w:t>
            </w:r>
          </w:p>
        </w:tc>
        <w:tc>
          <w:tcPr>
            <w:tcW w:w="451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Гнучкий графік або скорочена тривалість активностей</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Супровід відповідального працівника/наставника з боку підприємства</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Співпраця з асистентом дитини/педагогом/соціальним працівником</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Часткове облаштування простору (робочих місць) з урахуванням потреб</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У нас поки що немає можливості забезпечити додаткові адаптації</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готова забезпечувати спеціальні умови</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 (вкажіть, будь ласка)</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цільової аудиторії.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 Інфраструктурна готовність до інклюзивних заходів</w:t>
      </w:r>
    </w:p>
    <w:p w:rsidR="002F3A3D" w:rsidRDefault="002F3A3D">
      <w:pPr>
        <w:ind w:firstLine="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місцевих роботодавців щодо визначення їхньої інфраструктурної готовності до інклюзивних заходів подано в таблиці 22.</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(Шкала 1–5: 1 – зовсім не придатна, 5 – повністю придатна).</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22. Інфраструктурна готовність до інклюзивних заходів, %</w:t>
      </w:r>
    </w:p>
    <w:tbl>
      <w:tblPr>
        <w:tblStyle w:val="afb"/>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F3A3D">
        <w:trPr>
          <w:trHeight w:val="255"/>
        </w:trPr>
        <w:tc>
          <w:tcPr>
            <w:tcW w:w="451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451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r>
      <w:tr w:rsidR="002F3A3D">
        <w:trPr>
          <w:trHeight w:val="585"/>
        </w:trPr>
        <w:tc>
          <w:tcPr>
            <w:tcW w:w="4514"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451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поточна інфраструктура (приміщення, доступність, санітарні кімнати тощо) Вашого підприємства придатна для безпечної участі дітей та підлітків з ООП у профорієнтаційних заходах?</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1 – зовсім не придатна</w:t>
            </w:r>
          </w:p>
        </w:tc>
        <w:tc>
          <w:tcPr>
            <w:tcW w:w="451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2</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3</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4</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4514"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5  – повністю придатна</w:t>
            </w:r>
          </w:p>
        </w:tc>
        <w:tc>
          <w:tcPr>
            <w:tcW w:w="451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цільової аудиторії.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3. “Інклюзія та гендерна рівність”</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lastRenderedPageBreak/>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8028DE">
      <w:pPr>
        <w:pStyle w:val="a3"/>
        <w:rPr>
          <w:rFonts w:ascii="Times New Roman" w:eastAsia="Times New Roman" w:hAnsi="Times New Roman" w:cs="Times New Roman"/>
          <w:b/>
          <w:bCs/>
          <w:color w:val="073763"/>
          <w:sz w:val="24"/>
          <w:szCs w:val="24"/>
        </w:rPr>
      </w:pPr>
      <w:bookmarkStart w:id="23" w:name="_jp90fll2hqn1" w:colFirst="0" w:colLast="0"/>
      <w:bookmarkEnd w:id="23"/>
      <w:r>
        <w:rPr>
          <w:rFonts w:ascii="Times New Roman" w:eastAsia="Times New Roman" w:hAnsi="Times New Roman" w:cs="Times New Roman"/>
          <w:b/>
          <w:bCs/>
          <w:color w:val="073763"/>
          <w:sz w:val="24"/>
          <w:szCs w:val="24"/>
        </w:rPr>
        <w:t>БЛОК 4. СПІВПРАЦЯ З МІСЦЕВИМИ РОБОТОДАВЦЯМИ</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Рівень налагодженості співпраці</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рівня налагодженості співпраці з місцевими роботодавцями у здійсненні профорієнтаційної роботи в громаді подано в таблиці 23.</w:t>
      </w:r>
      <w:r>
        <w:rPr>
          <w:rFonts w:ascii="Times New Roman" w:eastAsia="Times New Roman" w:hAnsi="Times New Roman" w:cs="Times New Roman"/>
          <w:b/>
          <w:bCs/>
          <w:sz w:val="24"/>
          <w:szCs w:val="24"/>
        </w:rPr>
        <w:t xml:space="preserve"> </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23. Рівень налагодженості співпраці, %</w:t>
      </w:r>
      <w:r>
        <w:rPr>
          <w:rFonts w:ascii="Times New Roman" w:eastAsia="Times New Roman" w:hAnsi="Times New Roman" w:cs="Times New Roman"/>
          <w:b/>
          <w:bCs/>
          <w:sz w:val="24"/>
          <w:szCs w:val="24"/>
        </w:rPr>
        <w:tab/>
      </w:r>
    </w:p>
    <w:tbl>
      <w:tblPr>
        <w:tblStyle w:val="afc"/>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налагоджена у громаді співпраця між закладами освіти та місцевими підприємствами, організаціями, установами у сфері профорієнтації (екскурсії, зустрічі, проєкти)?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налагоджена у Вашого закладу освіти співпраця з місцевими підприємствами, організаціями, установами у сфері профорієнтації (екскурсії, зустрічі, проєкти)?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має школа, в якій навчається Ваша дитина, налагоджену співпрацю з місцевими підприємствами, організаціями, установами у сфері профорієнтації (екскурсії, зустрічі, проєкти)?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налагоджена співпраця між вашим підприємством/організацією/установою та закладами освіти громади у сфері профорієнтації (екскурсії, зустрічі, проєкти)?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відвідував/ла ти місцеві підприємства, організації, установи для знайомства з професіями (екскурсії, зустрічі, майстер-класи)?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відвідували Ви, коли навчались у школі, місцеві підприємства, організації, установи для знайомства з професіями (екскурсії, зустрічі, майстер-класи)?</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Бар’єри співпраці</w:t>
      </w:r>
      <w:r>
        <w:rPr>
          <w:rFonts w:ascii="Times New Roman" w:eastAsia="Times New Roman" w:hAnsi="Times New Roman" w:cs="Times New Roman"/>
          <w:b/>
          <w:bCs/>
          <w:sz w:val="24"/>
          <w:szCs w:val="24"/>
        </w:rPr>
        <w:tab/>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Результати опитування шести цільових аудиторій щодо визначення бар’єрів у співпраці з місцевими роботодавцями під час здійснення профорієнтаційної роботи в громаді подано в таблиці 24.</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24. Бар’єри співпраці, %</w:t>
      </w:r>
      <w:r>
        <w:rPr>
          <w:rFonts w:ascii="Times New Roman" w:eastAsia="Times New Roman" w:hAnsi="Times New Roman" w:cs="Times New Roman"/>
          <w:b/>
          <w:bCs/>
          <w:sz w:val="24"/>
          <w:szCs w:val="24"/>
        </w:rPr>
        <w:tab/>
      </w:r>
    </w:p>
    <w:tbl>
      <w:tblPr>
        <w:tblStyle w:val="afd"/>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що найбільше перешкоджає тіснішій співпраці у профорієнтаційній роботі між закладами освіти та місцевими підприємствами, установами та організаціями у Вашій громаді?</w:t>
            </w:r>
          </w:p>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є основними перешкодами для налагодження та розвитку співпраці Вашого закладу освіти з місцевими підприємствами, установами та організаціями у сфері профорієнтації?</w:t>
            </w:r>
          </w:p>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перешкоджає налагодженню співпраці між школами та місцевими підприємствами, установами, організаціями у сфері профорієнтації?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Що, на Вашу думку, стримує активнішу співпрацю Вашого підприємства/установи/організації із </w:t>
            </w:r>
            <w:proofErr w:type="spellStart"/>
            <w:r>
              <w:rPr>
                <w:rFonts w:ascii="Times New Roman" w:eastAsia="Times New Roman" w:hAnsi="Times New Roman" w:cs="Times New Roman"/>
                <w:sz w:val="16"/>
                <w:szCs w:val="16"/>
              </w:rPr>
              <w:t>закладими</w:t>
            </w:r>
            <w:proofErr w:type="spellEnd"/>
            <w:r>
              <w:rPr>
                <w:rFonts w:ascii="Times New Roman" w:eastAsia="Times New Roman" w:hAnsi="Times New Roman" w:cs="Times New Roman"/>
                <w:sz w:val="16"/>
                <w:szCs w:val="16"/>
              </w:rPr>
              <w:t xml:space="preserve"> освіти громади?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ти думаєш, що заважає вашій школі організовувати більше цікавих заходів для знайомства з місцевими підприємствами, установами, організаціями?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Вашу думку, найбільше заважало активнішій співпраці Вашої школи з місцевими підприємствами, установами та організаціями у сфері профорієнтації під час Вашого навчання?»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Відсутність зацікавленості </w:t>
            </w:r>
            <w:proofErr w:type="spellStart"/>
            <w:r>
              <w:rPr>
                <w:rFonts w:ascii="Times New Roman" w:eastAsia="Times New Roman" w:hAnsi="Times New Roman" w:cs="Times New Roman"/>
                <w:sz w:val="16"/>
                <w:szCs w:val="16"/>
              </w:rPr>
              <w:t>підприєств</w:t>
            </w:r>
            <w:proofErr w:type="spellEnd"/>
            <w:r>
              <w:rPr>
                <w:rFonts w:ascii="Times New Roman" w:eastAsia="Times New Roman" w:hAnsi="Times New Roman" w:cs="Times New Roman"/>
                <w:sz w:val="16"/>
                <w:szCs w:val="16"/>
              </w:rPr>
              <w:t>, установ, організацій</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Відсутність ініціативи з боку закладів освіти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Недостатня координація з боку місцевої влади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Законодавчі/бюрократичні обмеження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Відсутність підтримки батьків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Відсутність зацікавленості у дітей та </w:t>
            </w:r>
            <w:proofErr w:type="spellStart"/>
            <w:r>
              <w:rPr>
                <w:rFonts w:ascii="Times New Roman" w:eastAsia="Times New Roman" w:hAnsi="Times New Roman" w:cs="Times New Roman"/>
                <w:sz w:val="16"/>
                <w:szCs w:val="16"/>
              </w:rPr>
              <w:t>підітків</w:t>
            </w:r>
            <w:proofErr w:type="spellEnd"/>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Відсутність фінансових ресурсів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Відсутність часу</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Все добре, перешкод немає</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Важливість співпраці</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важливості  співпраці з місцевими роботодавцями під час здійснення профорієнтаційної роботи в громаді подано в таблиці 25.</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25. Важливість співпраці, %</w:t>
      </w:r>
      <w:r>
        <w:rPr>
          <w:rFonts w:ascii="Times New Roman" w:eastAsia="Times New Roman" w:hAnsi="Times New Roman" w:cs="Times New Roman"/>
          <w:b/>
          <w:bCs/>
          <w:sz w:val="24"/>
          <w:szCs w:val="24"/>
        </w:rPr>
        <w:tab/>
      </w:r>
    </w:p>
    <w:tbl>
      <w:tblPr>
        <w:tblStyle w:val="afe"/>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важливим Ви вважаєте розвиток співпраці закладів освіти громад з місцевими підприємствами, установами та організаціями для профорієнтації дітей та підлітків?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важливо, на Вашу думку, співпрацювати Вашому закладу освіти з місцевими роботодавцями у сфері профорієнтації дітей та підлітків?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важливо, на Вашу думку, співпрацювати школі з місцевими роботодавцями у сфері профорієнтації дітей та підлітків?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важливо, на Вашу думку, Вашому підприємству співпрацювати з закладами освіти громади для профорієнтації дітей та підлітків?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ти вважаєш, чи важливо, щоб школа співпрацювала з місцевими підприємствами, установами та організаціями для проведення профорієнтаційних заходів?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важливо, щоб школа співпрацювала з місцевими підприємствами, установами, організаціями для проведення профорієнтаційних заходів?</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важливо</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Скоріше важливо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надто важливо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важливо зовсім</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lastRenderedPageBreak/>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Ефективні формати співпраці</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ефективних форм співпраці з місцевими роботодавцями під час здійснення профорієнтаційної роботи в громаді подано в таблиці 26.</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26. Ефективні формати співпраці, %</w:t>
      </w:r>
      <w:r>
        <w:rPr>
          <w:rFonts w:ascii="Times New Roman" w:eastAsia="Times New Roman" w:hAnsi="Times New Roman" w:cs="Times New Roman"/>
          <w:b/>
          <w:bCs/>
          <w:sz w:val="24"/>
          <w:szCs w:val="24"/>
        </w:rPr>
        <w:tab/>
      </w:r>
    </w:p>
    <w:tbl>
      <w:tblPr>
        <w:tblStyle w:val="aff"/>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формати співпраці закладів освіти з місцевими підприємствами, установами, організаціями , на Вашу думку, є найбільш ефективними для профорієнтації дітей та підлітків?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формати співпраці закладів освіти з місцевими підприємствами, установами, організаціями, на Вашу думку, є найбільш ефективними для профорієнтації дітей та підлітків?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формати співпраці закладів освіти з місцевими підприємствами, установами, організаціями, на Вашу думку, найбільше допомагають дітям у виборі професії?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Які формати взаємодії Вашого </w:t>
            </w:r>
            <w:proofErr w:type="spellStart"/>
            <w:r>
              <w:rPr>
                <w:rFonts w:ascii="Times New Roman" w:eastAsia="Times New Roman" w:hAnsi="Times New Roman" w:cs="Times New Roman"/>
                <w:sz w:val="16"/>
                <w:szCs w:val="16"/>
              </w:rPr>
              <w:t>підприєства</w:t>
            </w:r>
            <w:proofErr w:type="spellEnd"/>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організаці</w:t>
            </w:r>
            <w:proofErr w:type="spellEnd"/>
            <w:r>
              <w:rPr>
                <w:rFonts w:ascii="Times New Roman" w:eastAsia="Times New Roman" w:hAnsi="Times New Roman" w:cs="Times New Roman"/>
                <w:sz w:val="16"/>
                <w:szCs w:val="16"/>
              </w:rPr>
              <w:t>/установи із закладами освіти Ви вважаєте найбільш ефективними для профорієнтації дітей та підлітків?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з цього допомогло б тобі краще обрати майбутню професію?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формати співпраці закладів освіти з місцевими підприємствами, установами, організаціями , на Вашу думку, є найбільш ефективними для профорієнтації дітей та підлітків?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Зустрічі із представниками професій</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Екскурсії на підприємства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Майстер-класи від підприємств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Наставництво від фахівців підприємств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Стажування на підприємствах</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 (укажіть)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lastRenderedPageBreak/>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 Частота профорієнтаційних заходів</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частоти профорієнтаційних заходів з місцевими роботодавцями під час здійснення профорієнтаційної роботи в громаді подано в таблиці 27.</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27. Частота профорієнтаційних заходів, %</w:t>
      </w:r>
      <w:r>
        <w:rPr>
          <w:rFonts w:ascii="Times New Roman" w:eastAsia="Times New Roman" w:hAnsi="Times New Roman" w:cs="Times New Roman"/>
          <w:b/>
          <w:bCs/>
          <w:sz w:val="24"/>
          <w:szCs w:val="24"/>
        </w:rPr>
        <w:tab/>
      </w:r>
    </w:p>
    <w:tbl>
      <w:tblPr>
        <w:tblStyle w:val="aff0"/>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у громаді організовуються профорієнтаційні заходи для дітей та підлітків із представниками професій або місцевими роботодавцями?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у Вашому закладі освіти організовуються профорієнтаційні заходи для дітей та підлітків із представниками професій або місцевими роботодавцями?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діти громади беруть участь у профорієнтаційних заходах для дітей та підлітків із представниками професій або місцевими роботодавцями?</w:t>
            </w:r>
          </w:p>
        </w:tc>
        <w:tc>
          <w:tcPr>
            <w:tcW w:w="1289" w:type="dxa"/>
            <w:tcBorders>
              <w:top w:val="single" w:sz="4" w:space="0" w:color="000000"/>
              <w:left w:val="single" w:sz="4" w:space="0" w:color="000000"/>
              <w:bottom w:val="single" w:sz="4" w:space="0" w:color="000000"/>
              <w:right w:val="single" w:sz="4" w:space="0" w:color="000000"/>
            </w:tcBorders>
            <w:shd w:val="clear" w:color="auto" w:fill="C9DAF8"/>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Ваше підприємство/</w:t>
            </w:r>
            <w:proofErr w:type="spellStart"/>
            <w:r>
              <w:rPr>
                <w:rFonts w:ascii="Times New Roman" w:eastAsia="Times New Roman" w:hAnsi="Times New Roman" w:cs="Times New Roman"/>
                <w:sz w:val="16"/>
                <w:szCs w:val="16"/>
              </w:rPr>
              <w:t>усатнова</w:t>
            </w:r>
            <w:proofErr w:type="spellEnd"/>
            <w:r>
              <w:rPr>
                <w:rFonts w:ascii="Times New Roman" w:eastAsia="Times New Roman" w:hAnsi="Times New Roman" w:cs="Times New Roman"/>
                <w:sz w:val="16"/>
                <w:szCs w:val="16"/>
              </w:rPr>
              <w:t xml:space="preserve">/організація бере участь у проведенні </w:t>
            </w:r>
            <w:proofErr w:type="spellStart"/>
            <w:r>
              <w:rPr>
                <w:rFonts w:ascii="Times New Roman" w:eastAsia="Times New Roman" w:hAnsi="Times New Roman" w:cs="Times New Roman"/>
                <w:sz w:val="16"/>
                <w:szCs w:val="16"/>
              </w:rPr>
              <w:t>профорієнтаціних</w:t>
            </w:r>
            <w:proofErr w:type="spellEnd"/>
            <w:r>
              <w:rPr>
                <w:rFonts w:ascii="Times New Roman" w:eastAsia="Times New Roman" w:hAnsi="Times New Roman" w:cs="Times New Roman"/>
                <w:sz w:val="16"/>
                <w:szCs w:val="16"/>
              </w:rPr>
              <w:t xml:space="preserve"> заходів для дітей та підлітків із представниками професій або місцевими роботодавцями?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у твоїй школі проводяться профорієнтаційні заходи із представниками професій або місцевими роботодавцями?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часто у Вашій школі проводили профорієнтаційні заходи для дітей та підлітків із представниками професій або місцевими роботодавцями?</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Зустрічі із представниками професій</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Постійно (кілька разів на семестр)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 від часу (1–2 рази на рік)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Рідко (раз на кілька років)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Екскурсії на підприємства</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Постійно (кілька разів на семестр)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 від часу (1–2 рази на рік)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Рідко (раз на кілька років)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Майстер-класи від підприємств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Постійно (кілька </w:t>
            </w:r>
            <w:r>
              <w:rPr>
                <w:rFonts w:ascii="Times New Roman" w:eastAsia="Times New Roman" w:hAnsi="Times New Roman" w:cs="Times New Roman"/>
                <w:sz w:val="16"/>
                <w:szCs w:val="16"/>
              </w:rPr>
              <w:lastRenderedPageBreak/>
              <w:t>разів на семестр)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Час від часу (1–2 рази на рік)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Рідко (раз на кілька років)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Наставництво від фахівців підприємств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Постійно (кілька разів на семестр)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 від часу (1–2 рази на рік)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Рідко (раз на кілька років)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Стажування на підприємствах</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Постійно (кілька разів на семестр)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 від часу (1–2 рази на рік)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Рідко (раз на кілька років)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проводяться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4.6. Вплив співпраці на професійний вибір</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впливу співпраці з місцевими роботодавцями під час здійснення профорієнтаційної роботи в громаді на професійний вибір молоді подано в таблиці 28.</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28. Вплив співпраці на професійний вибір, %</w:t>
      </w:r>
      <w:r>
        <w:rPr>
          <w:rFonts w:ascii="Times New Roman" w:eastAsia="Times New Roman" w:hAnsi="Times New Roman" w:cs="Times New Roman"/>
          <w:b/>
          <w:bCs/>
          <w:sz w:val="24"/>
          <w:szCs w:val="24"/>
        </w:rPr>
        <w:tab/>
      </w:r>
    </w:p>
    <w:tbl>
      <w:tblPr>
        <w:tblStyle w:val="aff1"/>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чи впливає співпраця закладів освіти та місцевих підприємств, установ, організацій на свідомий вибір професії молоддю?</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 Вашу думку, чи впливає співпраця закладів освіти та місцевих </w:t>
            </w:r>
            <w:proofErr w:type="spellStart"/>
            <w:r>
              <w:rPr>
                <w:rFonts w:ascii="Times New Roman" w:eastAsia="Times New Roman" w:hAnsi="Times New Roman" w:cs="Times New Roman"/>
                <w:sz w:val="16"/>
                <w:szCs w:val="16"/>
              </w:rPr>
              <w:t>підприєств</w:t>
            </w:r>
            <w:proofErr w:type="spellEnd"/>
            <w:r>
              <w:rPr>
                <w:rFonts w:ascii="Times New Roman" w:eastAsia="Times New Roman" w:hAnsi="Times New Roman" w:cs="Times New Roman"/>
                <w:sz w:val="16"/>
                <w:szCs w:val="16"/>
              </w:rPr>
              <w:t>, установ, організацій на свідомий вибір професії молоддю?</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 Вашу думку, чи впливає співпраця закладів освіти та місцевих </w:t>
            </w:r>
            <w:proofErr w:type="spellStart"/>
            <w:r>
              <w:rPr>
                <w:rFonts w:ascii="Times New Roman" w:eastAsia="Times New Roman" w:hAnsi="Times New Roman" w:cs="Times New Roman"/>
                <w:sz w:val="16"/>
                <w:szCs w:val="16"/>
              </w:rPr>
              <w:t>підприєств</w:t>
            </w:r>
            <w:proofErr w:type="spellEnd"/>
            <w:r>
              <w:rPr>
                <w:rFonts w:ascii="Times New Roman" w:eastAsia="Times New Roman" w:hAnsi="Times New Roman" w:cs="Times New Roman"/>
                <w:sz w:val="16"/>
                <w:szCs w:val="16"/>
              </w:rPr>
              <w:t>, установ, організацій на свідомий вибір професії молоддю?</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 Вашу думку, чи впливає співпраця закладів освіти та місцевих </w:t>
            </w:r>
            <w:proofErr w:type="spellStart"/>
            <w:r>
              <w:rPr>
                <w:rFonts w:ascii="Times New Roman" w:eastAsia="Times New Roman" w:hAnsi="Times New Roman" w:cs="Times New Roman"/>
                <w:sz w:val="16"/>
                <w:szCs w:val="16"/>
              </w:rPr>
              <w:t>підприєств</w:t>
            </w:r>
            <w:proofErr w:type="spellEnd"/>
            <w:r>
              <w:rPr>
                <w:rFonts w:ascii="Times New Roman" w:eastAsia="Times New Roman" w:hAnsi="Times New Roman" w:cs="Times New Roman"/>
                <w:sz w:val="16"/>
                <w:szCs w:val="16"/>
              </w:rPr>
              <w:t>, установ, організацій на свідомий вибір професії молоддю?</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ти вважаєш, чи допомагає знайомство з місцевими підприємствами, установами чи організаціями у виборі майбутньої професії?</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w:t>
            </w:r>
            <w:proofErr w:type="spellStart"/>
            <w:r>
              <w:rPr>
                <w:rFonts w:ascii="Times New Roman" w:eastAsia="Times New Roman" w:hAnsi="Times New Roman" w:cs="Times New Roman"/>
                <w:sz w:val="16"/>
                <w:szCs w:val="16"/>
              </w:rPr>
              <w:t>допомагло</w:t>
            </w:r>
            <w:proofErr w:type="spellEnd"/>
            <w:r>
              <w:rPr>
                <w:rFonts w:ascii="Times New Roman" w:eastAsia="Times New Roman" w:hAnsi="Times New Roman" w:cs="Times New Roman"/>
                <w:sz w:val="16"/>
                <w:szCs w:val="16"/>
              </w:rPr>
              <w:t xml:space="preserve"> Вам знайомство з місцевими підприємствами, установами чи організаціями у виборі майбутньої професії?</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Однозначно так</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Скоріше так</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Скоріше 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Однозначно 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 маю такого досвіду</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 Інтерес до напрямів профорієнтаційних активностей</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інтересу до напрямів профорієнтаційних активностей подано в таблиці 29.</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29. Інтерес до напрямів профорієнтаційних активностей, %</w:t>
      </w:r>
      <w:r>
        <w:rPr>
          <w:rFonts w:ascii="Times New Roman" w:eastAsia="Times New Roman" w:hAnsi="Times New Roman" w:cs="Times New Roman"/>
          <w:b/>
          <w:bCs/>
          <w:sz w:val="24"/>
          <w:szCs w:val="24"/>
        </w:rPr>
        <w:tab/>
      </w:r>
    </w:p>
    <w:tbl>
      <w:tblPr>
        <w:tblStyle w:val="aff2"/>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сферах, на Вашу думку, закладам освіти варто посилити співпрацю з місцевими роботодавцями щодо профорієнтації дітей та підлітків? (Можна обрати декілька варіантів)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сферах, на Вашу думку, Вашому закладу освіти варто посилити співпрацю з місцевими роботодавцями щодо профорієнтації дітей та підлітків? (Можна обрати декілька варіантів)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сферах, на Вашу думку, школі варто посилити співпрацю щодо профорієнтації дітей та підлітків з місцевими роботодавцями? (Можна обрати декілька варіантів)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сферах, на Вашу думку, закладам освіти варто посилити співпрацю з місцевими роботодавцями щодо профорієнтації дітей та підлітків? (Можна обрати декілька варіантів)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 професії у яких сферах діяльності ви хотіли б дізнатися більше? (Можна обрати декілька варіантів)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 яких сферах Ви хотіли б, щоб школа давала більше інформації про професії?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Освіта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Охорона здоров’я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Соціальна сфера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Публічне управління та місцеве самоврядування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Підприємництво / бізнес</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Торгівля та надання послуг</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Промисловість / виробництво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Сільське господарство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Транспорт / логістика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Культура, спорт, дозвілля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IT та технології</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Творчість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 (вкажіть)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8028DE">
      <w:pPr>
        <w:spacing w:line="240" w:lineRule="auto"/>
        <w:ind w:left="720"/>
        <w:jc w:val="both"/>
        <w:rPr>
          <w:rFonts w:ascii="Times New Roman" w:eastAsia="Times New Roman" w:hAnsi="Times New Roman" w:cs="Times New Roman"/>
          <w:b/>
          <w:bCs/>
          <w:color w:val="1C4587"/>
          <w:sz w:val="24"/>
          <w:szCs w:val="24"/>
        </w:rPr>
      </w:pPr>
      <w:r>
        <w:rPr>
          <w:rFonts w:ascii="Times New Roman" w:eastAsia="Times New Roman" w:hAnsi="Times New Roman" w:cs="Times New Roman"/>
          <w:sz w:val="24"/>
          <w:szCs w:val="24"/>
        </w:rPr>
        <w:tab/>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lastRenderedPageBreak/>
        <w:t>Висновки до блоку 4. “Співпраця з місцевими роботодавцями”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2F3A3D">
      <w:pPr>
        <w:pStyle w:val="a3"/>
        <w:rPr>
          <w:rFonts w:ascii="Times New Roman" w:eastAsia="Times New Roman" w:hAnsi="Times New Roman" w:cs="Times New Roman"/>
          <w:b/>
          <w:bCs/>
          <w:color w:val="073763"/>
          <w:sz w:val="24"/>
          <w:szCs w:val="24"/>
        </w:rPr>
      </w:pPr>
      <w:bookmarkStart w:id="24" w:name="_b270wpnoz7rv" w:colFirst="0" w:colLast="0"/>
      <w:bookmarkEnd w:id="24"/>
    </w:p>
    <w:p w:rsidR="002F3A3D" w:rsidRDefault="002F3A3D">
      <w:pPr>
        <w:pStyle w:val="a3"/>
        <w:rPr>
          <w:rFonts w:ascii="Times New Roman" w:eastAsia="Times New Roman" w:hAnsi="Times New Roman" w:cs="Times New Roman"/>
          <w:b/>
          <w:bCs/>
          <w:color w:val="073763"/>
          <w:sz w:val="24"/>
          <w:szCs w:val="24"/>
        </w:rPr>
      </w:pPr>
      <w:bookmarkStart w:id="25" w:name="_hd06fnt6iyxv" w:colFirst="0" w:colLast="0"/>
      <w:bookmarkEnd w:id="25"/>
    </w:p>
    <w:p w:rsidR="002F3A3D" w:rsidRDefault="002F3A3D">
      <w:pPr>
        <w:pStyle w:val="a3"/>
        <w:rPr>
          <w:rFonts w:ascii="Times New Roman" w:eastAsia="Times New Roman" w:hAnsi="Times New Roman" w:cs="Times New Roman"/>
          <w:b/>
          <w:bCs/>
          <w:color w:val="073763"/>
          <w:sz w:val="24"/>
          <w:szCs w:val="24"/>
        </w:rPr>
      </w:pPr>
      <w:bookmarkStart w:id="26" w:name="_f0akyaqejdtl" w:colFirst="0" w:colLast="0"/>
      <w:bookmarkEnd w:id="26"/>
    </w:p>
    <w:p w:rsidR="002F3A3D" w:rsidRDefault="002F3A3D">
      <w:pPr>
        <w:pStyle w:val="a3"/>
        <w:rPr>
          <w:rFonts w:ascii="Times New Roman" w:eastAsia="Times New Roman" w:hAnsi="Times New Roman" w:cs="Times New Roman"/>
          <w:b/>
          <w:bCs/>
          <w:color w:val="073763"/>
          <w:sz w:val="24"/>
          <w:szCs w:val="24"/>
        </w:rPr>
      </w:pPr>
      <w:bookmarkStart w:id="27" w:name="_8wm29llprfjl" w:colFirst="0" w:colLast="0"/>
      <w:bookmarkEnd w:id="27"/>
    </w:p>
    <w:p w:rsidR="002F3A3D" w:rsidRDefault="002F3A3D">
      <w:pPr>
        <w:pStyle w:val="a3"/>
        <w:keepNext w:val="0"/>
        <w:rPr>
          <w:rFonts w:ascii="Times New Roman" w:eastAsia="Times New Roman" w:hAnsi="Times New Roman" w:cs="Times New Roman"/>
          <w:b/>
          <w:bCs/>
          <w:color w:val="073763"/>
          <w:sz w:val="24"/>
          <w:szCs w:val="24"/>
        </w:rPr>
      </w:pPr>
      <w:bookmarkStart w:id="28" w:name="_gu61q2ix5di6" w:colFirst="0" w:colLast="0"/>
      <w:bookmarkEnd w:id="28"/>
    </w:p>
    <w:p w:rsidR="002F3A3D" w:rsidRDefault="008028DE">
      <w:pPr>
        <w:pStyle w:val="a3"/>
        <w:keepNext w:val="0"/>
        <w:rPr>
          <w:rFonts w:ascii="Times New Roman" w:eastAsia="Times New Roman" w:hAnsi="Times New Roman" w:cs="Times New Roman"/>
          <w:b/>
          <w:bCs/>
          <w:color w:val="073763"/>
          <w:sz w:val="24"/>
          <w:szCs w:val="24"/>
        </w:rPr>
      </w:pPr>
      <w:bookmarkStart w:id="29" w:name="_rawd8mnynub3" w:colFirst="0" w:colLast="0"/>
      <w:bookmarkEnd w:id="29"/>
      <w:r>
        <w:rPr>
          <w:rFonts w:ascii="Times New Roman" w:eastAsia="Times New Roman" w:hAnsi="Times New Roman" w:cs="Times New Roman"/>
          <w:b/>
          <w:bCs/>
          <w:color w:val="073763"/>
          <w:sz w:val="24"/>
          <w:szCs w:val="24"/>
        </w:rPr>
        <w:t>БЛОК 5. КАДРОВИЙ ПОТЕНЦІАЛ</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5.1. Кадрова спроможність</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кадрової спроможності громади у здійсненні профорієнтаційної роботи  подано в таблиці 30.</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30. Кадрова спроможність, %</w:t>
      </w:r>
      <w:r>
        <w:rPr>
          <w:rFonts w:ascii="Times New Roman" w:eastAsia="Times New Roman" w:hAnsi="Times New Roman" w:cs="Times New Roman"/>
          <w:b/>
          <w:bCs/>
          <w:sz w:val="24"/>
          <w:szCs w:val="24"/>
        </w:rPr>
        <w:tab/>
      </w:r>
    </w:p>
    <w:tbl>
      <w:tblPr>
        <w:tblStyle w:val="aff3"/>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наразі у Вашій громаді відповідає за організацію профорієнтаційної роботи з дітьми та підлітками?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у Вашому закладі освіти відповідає за профорієнтаційну роботу?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на Вашу думку, у школі Вашої дитини відповідає за профорієнтаційну роботу з учнями?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у громаді, на Вашу думку, координує профорієнтаційну роботу та співпрацю з підприємствами, установами, організаціями?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у Вашій школі займається профорієнтацією?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Хто у Вашій школі відповідав за профорієнтаційні заходи, коли Ви там навчалися? (Можна обрати декілька варіантів)</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Окремий спеціаліст (</w:t>
            </w:r>
            <w:proofErr w:type="spellStart"/>
            <w:r>
              <w:rPr>
                <w:rFonts w:ascii="Times New Roman" w:eastAsia="Times New Roman" w:hAnsi="Times New Roman" w:cs="Times New Roman"/>
                <w:sz w:val="16"/>
                <w:szCs w:val="16"/>
              </w:rPr>
              <w:t>профконсультант</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Практичний психолог</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Класні керівники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Заступник директора</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Усі педагоги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Окремі педагоги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Кар'єрний координатор</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Кар'єрний радник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Ніхто конкретно не відповідає</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Компетентність у профорієнтації</w:t>
      </w:r>
    </w:p>
    <w:p w:rsidR="002F3A3D" w:rsidRDefault="002F3A3D">
      <w:pPr>
        <w:spacing w:line="240" w:lineRule="auto"/>
        <w:jc w:val="both"/>
        <w:rPr>
          <w:rFonts w:ascii="Times New Roman" w:eastAsia="Times New Roman" w:hAnsi="Times New Roman" w:cs="Times New Roman"/>
          <w:b/>
          <w:bCs/>
          <w:sz w:val="24"/>
          <w:szCs w:val="24"/>
        </w:rPr>
      </w:pP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рівня компетентності спеціалістів, залучених до здійснення профорієнтаційної роботи  в громаді, подано в таблиці 31.</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31. Кадрова спроможність, %</w:t>
      </w:r>
      <w:r>
        <w:rPr>
          <w:rFonts w:ascii="Times New Roman" w:eastAsia="Times New Roman" w:hAnsi="Times New Roman" w:cs="Times New Roman"/>
          <w:b/>
          <w:bCs/>
          <w:sz w:val="24"/>
          <w:szCs w:val="24"/>
        </w:rPr>
        <w:tab/>
      </w:r>
    </w:p>
    <w:tbl>
      <w:tblPr>
        <w:tblStyle w:val="aff4"/>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Оцініть, наскільки, на Вашу думку, ці компетентності сформовані у фахівців Вашої громади, які залучені до профорієнтаційної роботи з дітьми та </w:t>
            </w:r>
            <w:proofErr w:type="spellStart"/>
            <w:r>
              <w:rPr>
                <w:rFonts w:ascii="Times New Roman" w:eastAsia="Times New Roman" w:hAnsi="Times New Roman" w:cs="Times New Roman"/>
                <w:sz w:val="16"/>
                <w:szCs w:val="16"/>
              </w:rPr>
              <w:t>підітками</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у Вас сформовані ці компетентності.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на Вашу думку, ці компетентності сформовані у педагогів школи, в якій навчається Ваша дитина.</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на Вашу думку, ці компетентності сформовані у співробітників Вашого підприємства/установи/організації, які залучені або можуть бути залучені до профорієнтаційної роботи з дітьми та підлітками.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Оціни, наскільки, на твою думку, ці компетентності сформовані у вчителів твоєї школи.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Оцініть, наскільки, на Вашу думку, ці компетентності були сформовані у педагогів школи, в якій Ви навчалися.</w:t>
            </w:r>
          </w:p>
        </w:tc>
      </w:tr>
      <w:tr w:rsidR="002F3A3D">
        <w:trPr>
          <w:trHeight w:val="360"/>
        </w:trPr>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Знання сучасного ринку праці</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Уміння проводити профорієнтаційні тести</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Уміння проводити профорієнтаційні заняття</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Уміння організовувати профорієнтаційні екскурсії</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Навички консультування</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Знання особливостей підліткового віку</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9023" w:type="dxa"/>
            <w:gridSpan w:val="7"/>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Поінформованість  про місцеві підприємства й організації</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Зовсім не сформовані</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Радше не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Сформовані 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Достатньо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Дуже добре сформовані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w:t>
      </w:r>
      <w:r>
        <w:rPr>
          <w:rFonts w:ascii="Times New Roman" w:eastAsia="Times New Roman" w:hAnsi="Times New Roman" w:cs="Times New Roman"/>
          <w:color w:val="FF00FF"/>
          <w:sz w:val="24"/>
          <w:szCs w:val="24"/>
        </w:rPr>
        <w:lastRenderedPageBreak/>
        <w:t>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5.3. Потреба в навчанні</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потреби в навчанні спеціалістів, залучених до здійснення профорієнтаційної роботи  в громаді, подано в таблиці 32.</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32. Потреба в навчанні, %</w:t>
      </w:r>
      <w:r>
        <w:rPr>
          <w:rFonts w:ascii="Times New Roman" w:eastAsia="Times New Roman" w:hAnsi="Times New Roman" w:cs="Times New Roman"/>
          <w:b/>
          <w:bCs/>
          <w:sz w:val="24"/>
          <w:szCs w:val="24"/>
        </w:rPr>
        <w:tab/>
      </w:r>
    </w:p>
    <w:tbl>
      <w:tblPr>
        <w:tblStyle w:val="aff5"/>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чи є потреба в системному навчанні та підвищенні кваліфікації фахівців, які відповідають у Вашій громадді за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проходили Ви навчання або підвищення кваліфікації з профорієнтаційної роботи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потребують педагоги додаткового навчання, щоб ефективно проводити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 Ви вважаєте, чи потребують співробітники Вашого </w:t>
            </w:r>
            <w:proofErr w:type="spellStart"/>
            <w:r>
              <w:rPr>
                <w:rFonts w:ascii="Times New Roman" w:eastAsia="Times New Roman" w:hAnsi="Times New Roman" w:cs="Times New Roman"/>
                <w:sz w:val="16"/>
                <w:szCs w:val="16"/>
              </w:rPr>
              <w:t>підпримєства</w:t>
            </w:r>
            <w:proofErr w:type="spellEnd"/>
            <w:r>
              <w:rPr>
                <w:rFonts w:ascii="Times New Roman" w:eastAsia="Times New Roman" w:hAnsi="Times New Roman" w:cs="Times New Roman"/>
                <w:sz w:val="16"/>
                <w:szCs w:val="16"/>
              </w:rPr>
              <w:t>/установи/організації додаткового навчання, щоб ефективно проводити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достатньо, на твою думку, вчителі підготовлені для того, щоб допомогти учням визначитися з професійним шляхом?</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достатньо, на Вашу думку, вчителі у Вашій школі були підготовлені для того, щоб допомогти учням визначитися з професійним шляхом?</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 Доцільність кар’єрного радника в закладах загальної середньої освіти</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доцільності кар’єрного радника в закладах загальної середньої освітив громади, подано в таблиці 33.</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Таблиця 33. Доцільність кар’єрного радника в закладах загальної середньої освіти, %</w:t>
      </w:r>
      <w:r>
        <w:rPr>
          <w:rFonts w:ascii="Times New Roman" w:eastAsia="Times New Roman" w:hAnsi="Times New Roman" w:cs="Times New Roman"/>
          <w:b/>
          <w:bCs/>
          <w:sz w:val="24"/>
          <w:szCs w:val="24"/>
        </w:rPr>
        <w:tab/>
      </w:r>
    </w:p>
    <w:tbl>
      <w:tblPr>
        <w:tblStyle w:val="aff6"/>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доцільно, щоб у кожному закладі загальної середньої освіти була окрема уповноважена особа (кар’єрний радник), відповідальна за профорієнтаційну роботу з учнями?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доцільно, щоб у кожному закладі загальної середньої освіти була окрема уповноважена особа (кар’єрний радник), відповідальна за профорієнтаційну роботу з учнями?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доцільно, щоб у кожному закладі загальної середньої освіти була окрема уповноважена особа (кар’єрний радник), відповідальна за профорієнтаційну роботу з учнями?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доцільно, щоб у кожному закладі загальної середньої освіти була окрема уповноважена особа (кар’єрний радник), відповідальна за профорієнтаційну роботу з учнями?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ти вважаєш, чи потрібна у школі людина (кар'єрний радник), яка допомагатиме учням з вибором майбутньої професії?</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 Ви вважаєте, чи доцільно, щоб у кожному закладі освіти була окрема уповноважена особа (кар’єрний радник), відповідальна за профорієнтаційну роботу з учнями?</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 доцільно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недоцільно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 Доцільність кар’єрного координатора в територіальній громаді</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доцільності кар’єрного координатора в територіальній громаді, подано в таблиці 34.</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34. Доцільність кар’єрного координатора в територіальній громаді, %</w:t>
      </w:r>
      <w:r>
        <w:rPr>
          <w:rFonts w:ascii="Times New Roman" w:eastAsia="Times New Roman" w:hAnsi="Times New Roman" w:cs="Times New Roman"/>
          <w:b/>
          <w:bCs/>
          <w:sz w:val="24"/>
          <w:szCs w:val="24"/>
        </w:rPr>
        <w:tab/>
      </w:r>
    </w:p>
    <w:tbl>
      <w:tblPr>
        <w:tblStyle w:val="aff7"/>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 Ви вважаєте, чи доцільно, щоб в територіальній громаді була окрема уповноважена особа (кар’єрний </w:t>
            </w:r>
            <w:r>
              <w:rPr>
                <w:rFonts w:ascii="Times New Roman" w:eastAsia="Times New Roman" w:hAnsi="Times New Roman" w:cs="Times New Roman"/>
                <w:sz w:val="16"/>
                <w:szCs w:val="16"/>
              </w:rPr>
              <w:lastRenderedPageBreak/>
              <w:t>координатор), відповідальна за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 Ви вважаєте, чи доцільно, щоб в територіальній громаді була окрема уповноважена особа (кар’єрний </w:t>
            </w:r>
            <w:r>
              <w:rPr>
                <w:rFonts w:ascii="Times New Roman" w:eastAsia="Times New Roman" w:hAnsi="Times New Roman" w:cs="Times New Roman"/>
                <w:sz w:val="16"/>
                <w:szCs w:val="16"/>
              </w:rPr>
              <w:lastRenderedPageBreak/>
              <w:t>координатор), відповідальна за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 Ви вважаєте, чи доцільно, щоб в територіальній громаді була окрема уповноважена особа (кар’єрний </w:t>
            </w:r>
            <w:r>
              <w:rPr>
                <w:rFonts w:ascii="Times New Roman" w:eastAsia="Times New Roman" w:hAnsi="Times New Roman" w:cs="Times New Roman"/>
                <w:sz w:val="16"/>
                <w:szCs w:val="16"/>
              </w:rPr>
              <w:lastRenderedPageBreak/>
              <w:t>координатор), відповідальна за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 Ви вважаєте, чи доцільно, щоб в територіальній громаді була окрема уповноважена особа (кар’єрний </w:t>
            </w:r>
            <w:r>
              <w:rPr>
                <w:rFonts w:ascii="Times New Roman" w:eastAsia="Times New Roman" w:hAnsi="Times New Roman" w:cs="Times New Roman"/>
                <w:sz w:val="16"/>
                <w:szCs w:val="16"/>
              </w:rPr>
              <w:lastRenderedPageBreak/>
              <w:t>координатор), відповідальна за профорієнтаційну роботу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 ти вважаєш, чи потрібна у громаді людина (кар'єрний координатор), яка допомагатиме </w:t>
            </w:r>
            <w:r>
              <w:rPr>
                <w:rFonts w:ascii="Times New Roman" w:eastAsia="Times New Roman" w:hAnsi="Times New Roman" w:cs="Times New Roman"/>
                <w:sz w:val="16"/>
                <w:szCs w:val="16"/>
              </w:rPr>
              <w:lastRenderedPageBreak/>
              <w:t>організовувати профорієнтаційні заходи для дітей та підлітків?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 Ви вважаєте, чи доцільно, щоб в територіальній громаді була окрема уповноважена особа (кар’єрний </w:t>
            </w:r>
            <w:r>
              <w:rPr>
                <w:rFonts w:ascii="Times New Roman" w:eastAsia="Times New Roman" w:hAnsi="Times New Roman" w:cs="Times New Roman"/>
                <w:sz w:val="16"/>
                <w:szCs w:val="16"/>
              </w:rPr>
              <w:lastRenderedPageBreak/>
              <w:t>координатор), відповідальна за профорієнтаційну роботу в громаді?</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Так, доцільно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недоцільно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5.6. Кадрові бар’єри</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кадрових бар’єрів щодо здійснення профорієнтаційної роботи в громаді, подано в таблиці 35.</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35. Кадрові бар’єри, %</w:t>
      </w:r>
      <w:r>
        <w:rPr>
          <w:rFonts w:ascii="Times New Roman" w:eastAsia="Times New Roman" w:hAnsi="Times New Roman" w:cs="Times New Roman"/>
          <w:b/>
          <w:bCs/>
          <w:sz w:val="24"/>
          <w:szCs w:val="24"/>
        </w:rPr>
        <w:tab/>
      </w:r>
    </w:p>
    <w:tbl>
      <w:tblPr>
        <w:tblStyle w:val="aff8"/>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які кадрові бар’єри найбільше стримують розвиток профорієнтаційної роботи у Вашій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які кадрові бар’єри найбільше стримують розвиток профорієнтаційної роботи у Вашому закладі освіти?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Які кадрові проблеми, на Вашу думку, заважають школі, в якій навчається Ваша дитина, якісно проводити профорієнтаційні заходи?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які кадрові бар’єри найбільше стримують розвиток профорієнтаційної роботи у Вашій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Що, на твою думку, заважає дорослим якісно проводити профорієнтаційні заходи у школі та громаді? (Можна обрати декілька варіантів)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 Вашу думку, які кадрові бар’єри найбільше стримували розвиток профорієнтаційної роботи у Вашій школі? (Можна обрати декілька варіантів)</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Нестача підготовлених фахівців</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Відсутність окремої відповідальної особи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Відсутність </w:t>
            </w:r>
            <w:r>
              <w:rPr>
                <w:rFonts w:ascii="Times New Roman" w:eastAsia="Times New Roman" w:hAnsi="Times New Roman" w:cs="Times New Roman"/>
                <w:sz w:val="16"/>
                <w:szCs w:val="16"/>
              </w:rPr>
              <w:lastRenderedPageBreak/>
              <w:t>програм підвищення кваліфікації</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Високе навантаження педагогів</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Низький рівень </w:t>
            </w:r>
            <w:proofErr w:type="spellStart"/>
            <w:r>
              <w:rPr>
                <w:rFonts w:ascii="Times New Roman" w:eastAsia="Times New Roman" w:hAnsi="Times New Roman" w:cs="Times New Roman"/>
                <w:sz w:val="16"/>
                <w:szCs w:val="16"/>
              </w:rPr>
              <w:t>взаємодіії</w:t>
            </w:r>
            <w:proofErr w:type="spellEnd"/>
            <w:r>
              <w:rPr>
                <w:rFonts w:ascii="Times New Roman" w:eastAsia="Times New Roman" w:hAnsi="Times New Roman" w:cs="Times New Roman"/>
                <w:sz w:val="16"/>
                <w:szCs w:val="16"/>
              </w:rPr>
              <w:t xml:space="preserve"> з місцевими роботодавцями та зовнішніми експертами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Відсутня оплата за профорієнтаційну роботу</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Низька поінформованість</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Все добре, перешкод немає</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ind w:left="720"/>
        <w:jc w:val="both"/>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5. “Кадровий потенціал”</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2F3A3D">
      <w:pPr>
        <w:pStyle w:val="a3"/>
        <w:rPr>
          <w:rFonts w:ascii="Times New Roman" w:eastAsia="Times New Roman" w:hAnsi="Times New Roman" w:cs="Times New Roman"/>
          <w:b/>
          <w:bCs/>
          <w:color w:val="073763"/>
          <w:sz w:val="24"/>
          <w:szCs w:val="24"/>
        </w:rPr>
      </w:pPr>
      <w:bookmarkStart w:id="30" w:name="_a3xm404iftwo" w:colFirst="0" w:colLast="0"/>
      <w:bookmarkEnd w:id="30"/>
    </w:p>
    <w:p w:rsidR="002F3A3D" w:rsidRDefault="002F3A3D">
      <w:pPr>
        <w:pStyle w:val="a3"/>
        <w:rPr>
          <w:rFonts w:ascii="Times New Roman" w:eastAsia="Times New Roman" w:hAnsi="Times New Roman" w:cs="Times New Roman"/>
          <w:b/>
          <w:bCs/>
          <w:color w:val="073763"/>
          <w:sz w:val="24"/>
          <w:szCs w:val="24"/>
        </w:rPr>
      </w:pPr>
      <w:bookmarkStart w:id="31" w:name="_y2g75isp3k72" w:colFirst="0" w:colLast="0"/>
      <w:bookmarkEnd w:id="31"/>
    </w:p>
    <w:p w:rsidR="002F3A3D" w:rsidRDefault="002F3A3D">
      <w:pPr>
        <w:pStyle w:val="a3"/>
        <w:rPr>
          <w:rFonts w:ascii="Times New Roman" w:eastAsia="Times New Roman" w:hAnsi="Times New Roman" w:cs="Times New Roman"/>
          <w:b/>
          <w:bCs/>
          <w:color w:val="073763"/>
          <w:sz w:val="24"/>
          <w:szCs w:val="24"/>
        </w:rPr>
      </w:pPr>
      <w:bookmarkStart w:id="32" w:name="_36i0c3vk69z6" w:colFirst="0" w:colLast="0"/>
      <w:bookmarkEnd w:id="32"/>
    </w:p>
    <w:p w:rsidR="002F3A3D" w:rsidRDefault="002F3A3D">
      <w:pPr>
        <w:pStyle w:val="a3"/>
        <w:rPr>
          <w:rFonts w:ascii="Times New Roman" w:eastAsia="Times New Roman" w:hAnsi="Times New Roman" w:cs="Times New Roman"/>
          <w:b/>
          <w:bCs/>
          <w:color w:val="073763"/>
          <w:sz w:val="24"/>
          <w:szCs w:val="24"/>
        </w:rPr>
      </w:pPr>
      <w:bookmarkStart w:id="33" w:name="_gqa4rrowgjxz" w:colFirst="0" w:colLast="0"/>
      <w:bookmarkEnd w:id="33"/>
    </w:p>
    <w:p w:rsidR="002F3A3D" w:rsidRDefault="002F3A3D">
      <w:pPr>
        <w:pStyle w:val="a3"/>
        <w:rPr>
          <w:rFonts w:ascii="Times New Roman" w:eastAsia="Times New Roman" w:hAnsi="Times New Roman" w:cs="Times New Roman"/>
          <w:b/>
          <w:bCs/>
          <w:color w:val="073763"/>
          <w:sz w:val="24"/>
          <w:szCs w:val="24"/>
        </w:rPr>
      </w:pPr>
      <w:bookmarkStart w:id="34" w:name="_ah9ktm18l3jw" w:colFirst="0" w:colLast="0"/>
      <w:bookmarkEnd w:id="34"/>
    </w:p>
    <w:p w:rsidR="002F3A3D" w:rsidRDefault="002F3A3D">
      <w:pPr>
        <w:pStyle w:val="a3"/>
        <w:rPr>
          <w:rFonts w:ascii="Times New Roman" w:eastAsia="Times New Roman" w:hAnsi="Times New Roman" w:cs="Times New Roman"/>
          <w:b/>
          <w:bCs/>
          <w:color w:val="073763"/>
          <w:sz w:val="24"/>
          <w:szCs w:val="24"/>
        </w:rPr>
      </w:pPr>
      <w:bookmarkStart w:id="35" w:name="_h1747nd98iae" w:colFirst="0" w:colLast="0"/>
      <w:bookmarkEnd w:id="35"/>
    </w:p>
    <w:p w:rsidR="002F3A3D" w:rsidRDefault="002F3A3D">
      <w:pPr>
        <w:pStyle w:val="a3"/>
        <w:rPr>
          <w:rFonts w:ascii="Times New Roman" w:eastAsia="Times New Roman" w:hAnsi="Times New Roman" w:cs="Times New Roman"/>
          <w:b/>
          <w:bCs/>
          <w:color w:val="073763"/>
          <w:sz w:val="24"/>
          <w:szCs w:val="24"/>
        </w:rPr>
      </w:pPr>
      <w:bookmarkStart w:id="36" w:name="_n6xnu7ncrwek" w:colFirst="0" w:colLast="0"/>
      <w:bookmarkEnd w:id="36"/>
    </w:p>
    <w:p w:rsidR="002F3A3D" w:rsidRDefault="002F3A3D">
      <w:pPr>
        <w:pStyle w:val="a3"/>
        <w:rPr>
          <w:rFonts w:ascii="Times New Roman" w:eastAsia="Times New Roman" w:hAnsi="Times New Roman" w:cs="Times New Roman"/>
          <w:b/>
          <w:bCs/>
          <w:color w:val="073763"/>
          <w:sz w:val="24"/>
          <w:szCs w:val="24"/>
        </w:rPr>
      </w:pPr>
      <w:bookmarkStart w:id="37" w:name="_djxnb87s2d2y" w:colFirst="0" w:colLast="0"/>
      <w:bookmarkEnd w:id="37"/>
    </w:p>
    <w:p w:rsidR="002F3A3D" w:rsidRDefault="002F3A3D">
      <w:pPr>
        <w:pStyle w:val="a3"/>
        <w:rPr>
          <w:rFonts w:ascii="Times New Roman" w:eastAsia="Times New Roman" w:hAnsi="Times New Roman" w:cs="Times New Roman"/>
          <w:b/>
          <w:bCs/>
          <w:color w:val="073763"/>
          <w:sz w:val="24"/>
          <w:szCs w:val="24"/>
        </w:rPr>
      </w:pPr>
      <w:bookmarkStart w:id="38" w:name="_y4i9hibh220g" w:colFirst="0" w:colLast="0"/>
      <w:bookmarkEnd w:id="38"/>
    </w:p>
    <w:p w:rsidR="002F3A3D" w:rsidRDefault="002F3A3D">
      <w:pPr>
        <w:pStyle w:val="a3"/>
        <w:rPr>
          <w:rFonts w:ascii="Times New Roman" w:eastAsia="Times New Roman" w:hAnsi="Times New Roman" w:cs="Times New Roman"/>
          <w:b/>
          <w:bCs/>
          <w:color w:val="073763"/>
          <w:sz w:val="24"/>
          <w:szCs w:val="24"/>
        </w:rPr>
      </w:pPr>
      <w:bookmarkStart w:id="39" w:name="_v1q4k7izpwpq" w:colFirst="0" w:colLast="0"/>
      <w:bookmarkEnd w:id="39"/>
    </w:p>
    <w:p w:rsidR="002F3A3D" w:rsidRDefault="002F3A3D">
      <w:pPr>
        <w:pStyle w:val="a3"/>
        <w:rPr>
          <w:rFonts w:ascii="Times New Roman" w:eastAsia="Times New Roman" w:hAnsi="Times New Roman" w:cs="Times New Roman"/>
          <w:b/>
          <w:bCs/>
          <w:color w:val="073763"/>
          <w:sz w:val="24"/>
          <w:szCs w:val="24"/>
        </w:rPr>
      </w:pPr>
      <w:bookmarkStart w:id="40" w:name="_fac9oz7wy3tk" w:colFirst="0" w:colLast="0"/>
      <w:bookmarkEnd w:id="40"/>
    </w:p>
    <w:p w:rsidR="002F3A3D" w:rsidRDefault="002F3A3D">
      <w:pPr>
        <w:pStyle w:val="a3"/>
        <w:rPr>
          <w:rFonts w:ascii="Times New Roman" w:eastAsia="Times New Roman" w:hAnsi="Times New Roman" w:cs="Times New Roman"/>
          <w:b/>
          <w:bCs/>
          <w:color w:val="073763"/>
          <w:sz w:val="24"/>
          <w:szCs w:val="24"/>
        </w:rPr>
      </w:pPr>
      <w:bookmarkStart w:id="41" w:name="_n7myj2gen51t" w:colFirst="0" w:colLast="0"/>
      <w:bookmarkEnd w:id="41"/>
    </w:p>
    <w:p w:rsidR="002F3A3D" w:rsidRDefault="002F3A3D">
      <w:pPr>
        <w:pStyle w:val="a3"/>
        <w:rPr>
          <w:rFonts w:ascii="Times New Roman" w:eastAsia="Times New Roman" w:hAnsi="Times New Roman" w:cs="Times New Roman"/>
          <w:b/>
          <w:bCs/>
          <w:color w:val="073763"/>
          <w:sz w:val="24"/>
          <w:szCs w:val="24"/>
        </w:rPr>
      </w:pPr>
      <w:bookmarkStart w:id="42" w:name="_e7wpzx83va90" w:colFirst="0" w:colLast="0"/>
      <w:bookmarkEnd w:id="42"/>
    </w:p>
    <w:p w:rsidR="002F3A3D" w:rsidRDefault="002F3A3D">
      <w:pPr>
        <w:pStyle w:val="a3"/>
        <w:rPr>
          <w:rFonts w:ascii="Times New Roman" w:eastAsia="Times New Roman" w:hAnsi="Times New Roman" w:cs="Times New Roman"/>
          <w:b/>
          <w:bCs/>
          <w:color w:val="073763"/>
          <w:sz w:val="24"/>
          <w:szCs w:val="24"/>
        </w:rPr>
      </w:pPr>
      <w:bookmarkStart w:id="43" w:name="_l8054eqtynmj" w:colFirst="0" w:colLast="0"/>
      <w:bookmarkEnd w:id="43"/>
    </w:p>
    <w:p w:rsidR="002F3A3D" w:rsidRDefault="002F3A3D">
      <w:pPr>
        <w:pStyle w:val="a3"/>
        <w:rPr>
          <w:rFonts w:ascii="Times New Roman" w:eastAsia="Times New Roman" w:hAnsi="Times New Roman" w:cs="Times New Roman"/>
          <w:b/>
          <w:bCs/>
          <w:color w:val="073763"/>
          <w:sz w:val="24"/>
          <w:szCs w:val="24"/>
        </w:rPr>
      </w:pPr>
      <w:bookmarkStart w:id="44" w:name="_812ma2h8ldjm" w:colFirst="0" w:colLast="0"/>
      <w:bookmarkEnd w:id="44"/>
    </w:p>
    <w:p w:rsidR="002F3A3D" w:rsidRDefault="002F3A3D">
      <w:pPr>
        <w:pStyle w:val="a3"/>
        <w:rPr>
          <w:rFonts w:ascii="Times New Roman" w:eastAsia="Times New Roman" w:hAnsi="Times New Roman" w:cs="Times New Roman"/>
          <w:b/>
          <w:bCs/>
          <w:color w:val="073763"/>
          <w:sz w:val="24"/>
          <w:szCs w:val="24"/>
        </w:rPr>
      </w:pPr>
      <w:bookmarkStart w:id="45" w:name="_f16txfgefaza" w:colFirst="0" w:colLast="0"/>
      <w:bookmarkEnd w:id="45"/>
    </w:p>
    <w:p w:rsidR="002F3A3D" w:rsidRDefault="002F3A3D">
      <w:pPr>
        <w:pStyle w:val="a3"/>
        <w:rPr>
          <w:rFonts w:ascii="Times New Roman" w:eastAsia="Times New Roman" w:hAnsi="Times New Roman" w:cs="Times New Roman"/>
          <w:b/>
          <w:bCs/>
          <w:color w:val="073763"/>
          <w:sz w:val="24"/>
          <w:szCs w:val="24"/>
        </w:rPr>
      </w:pPr>
      <w:bookmarkStart w:id="46" w:name="_qjsxhwuon0j" w:colFirst="0" w:colLast="0"/>
      <w:bookmarkEnd w:id="46"/>
    </w:p>
    <w:p w:rsidR="002F3A3D" w:rsidRDefault="002F3A3D">
      <w:pPr>
        <w:pStyle w:val="a3"/>
        <w:rPr>
          <w:rFonts w:ascii="Times New Roman" w:eastAsia="Times New Roman" w:hAnsi="Times New Roman" w:cs="Times New Roman"/>
          <w:b/>
          <w:bCs/>
          <w:color w:val="073763"/>
          <w:sz w:val="24"/>
          <w:szCs w:val="24"/>
        </w:rPr>
      </w:pPr>
      <w:bookmarkStart w:id="47" w:name="_c70yoku7q3j9" w:colFirst="0" w:colLast="0"/>
      <w:bookmarkEnd w:id="47"/>
    </w:p>
    <w:p w:rsidR="002F3A3D" w:rsidRDefault="002F3A3D">
      <w:pPr>
        <w:pStyle w:val="a3"/>
        <w:rPr>
          <w:rFonts w:ascii="Times New Roman" w:eastAsia="Times New Roman" w:hAnsi="Times New Roman" w:cs="Times New Roman"/>
          <w:b/>
          <w:bCs/>
          <w:color w:val="073763"/>
          <w:sz w:val="24"/>
          <w:szCs w:val="24"/>
        </w:rPr>
      </w:pPr>
      <w:bookmarkStart w:id="48" w:name="_hr0e3wcavqe2" w:colFirst="0" w:colLast="0"/>
      <w:bookmarkEnd w:id="48"/>
    </w:p>
    <w:p w:rsidR="002F3A3D" w:rsidRDefault="002F3A3D">
      <w:pPr>
        <w:pStyle w:val="a3"/>
        <w:rPr>
          <w:rFonts w:ascii="Times New Roman" w:eastAsia="Times New Roman" w:hAnsi="Times New Roman" w:cs="Times New Roman"/>
          <w:b/>
          <w:bCs/>
          <w:color w:val="073763"/>
          <w:sz w:val="24"/>
          <w:szCs w:val="24"/>
        </w:rPr>
      </w:pPr>
      <w:bookmarkStart w:id="49" w:name="_d24eojk5rztj" w:colFirst="0" w:colLast="0"/>
      <w:bookmarkEnd w:id="49"/>
    </w:p>
    <w:p w:rsidR="002F3A3D" w:rsidRDefault="002F3A3D">
      <w:pPr>
        <w:pStyle w:val="a3"/>
        <w:rPr>
          <w:rFonts w:ascii="Times New Roman" w:eastAsia="Times New Roman" w:hAnsi="Times New Roman" w:cs="Times New Roman"/>
          <w:b/>
          <w:bCs/>
          <w:color w:val="073763"/>
          <w:sz w:val="24"/>
          <w:szCs w:val="24"/>
        </w:rPr>
      </w:pPr>
      <w:bookmarkStart w:id="50" w:name="_sb7qjtnx3wjp" w:colFirst="0" w:colLast="0"/>
      <w:bookmarkEnd w:id="50"/>
    </w:p>
    <w:p w:rsidR="002F3A3D" w:rsidRDefault="002F3A3D">
      <w:pPr>
        <w:pStyle w:val="a3"/>
        <w:rPr>
          <w:rFonts w:ascii="Times New Roman" w:eastAsia="Times New Roman" w:hAnsi="Times New Roman" w:cs="Times New Roman"/>
          <w:b/>
          <w:bCs/>
          <w:color w:val="073763"/>
          <w:sz w:val="24"/>
          <w:szCs w:val="24"/>
        </w:rPr>
      </w:pPr>
      <w:bookmarkStart w:id="51" w:name="_4ugfxndnqrvh" w:colFirst="0" w:colLast="0"/>
      <w:bookmarkEnd w:id="51"/>
    </w:p>
    <w:p w:rsidR="002F3A3D" w:rsidRDefault="002F3A3D">
      <w:pPr>
        <w:pStyle w:val="a3"/>
        <w:rPr>
          <w:rFonts w:ascii="Times New Roman" w:eastAsia="Times New Roman" w:hAnsi="Times New Roman" w:cs="Times New Roman"/>
          <w:b/>
          <w:bCs/>
          <w:color w:val="073763"/>
          <w:sz w:val="24"/>
          <w:szCs w:val="24"/>
        </w:rPr>
      </w:pPr>
      <w:bookmarkStart w:id="52" w:name="_ypgnnh9qvv6d" w:colFirst="0" w:colLast="0"/>
      <w:bookmarkEnd w:id="52"/>
    </w:p>
    <w:p w:rsidR="002F3A3D" w:rsidRDefault="002F3A3D">
      <w:pPr>
        <w:pStyle w:val="a3"/>
        <w:rPr>
          <w:rFonts w:ascii="Times New Roman" w:eastAsia="Times New Roman" w:hAnsi="Times New Roman" w:cs="Times New Roman"/>
          <w:b/>
          <w:bCs/>
          <w:color w:val="073763"/>
          <w:sz w:val="24"/>
          <w:szCs w:val="24"/>
        </w:rPr>
      </w:pPr>
      <w:bookmarkStart w:id="53" w:name="_t8wuhs219qvn" w:colFirst="0" w:colLast="0"/>
      <w:bookmarkEnd w:id="53"/>
    </w:p>
    <w:p w:rsidR="002F3A3D" w:rsidRDefault="002F3A3D">
      <w:pPr>
        <w:pStyle w:val="a3"/>
        <w:rPr>
          <w:rFonts w:ascii="Times New Roman" w:eastAsia="Times New Roman" w:hAnsi="Times New Roman" w:cs="Times New Roman"/>
          <w:b/>
          <w:bCs/>
          <w:color w:val="073763"/>
          <w:sz w:val="24"/>
          <w:szCs w:val="24"/>
        </w:rPr>
      </w:pPr>
      <w:bookmarkStart w:id="54" w:name="_k0qz393mcwuh" w:colFirst="0" w:colLast="0"/>
      <w:bookmarkEnd w:id="54"/>
    </w:p>
    <w:p w:rsidR="002F3A3D" w:rsidRDefault="002F3A3D">
      <w:pPr>
        <w:pStyle w:val="a3"/>
        <w:rPr>
          <w:rFonts w:ascii="Times New Roman" w:eastAsia="Times New Roman" w:hAnsi="Times New Roman" w:cs="Times New Roman"/>
          <w:b/>
          <w:bCs/>
          <w:color w:val="073763"/>
          <w:sz w:val="24"/>
          <w:szCs w:val="24"/>
        </w:rPr>
      </w:pPr>
      <w:bookmarkStart w:id="55" w:name="_czskl1roj9m9" w:colFirst="0" w:colLast="0"/>
      <w:bookmarkEnd w:id="55"/>
    </w:p>
    <w:p w:rsidR="002F3A3D" w:rsidRDefault="002F3A3D">
      <w:pPr>
        <w:pStyle w:val="a3"/>
        <w:rPr>
          <w:rFonts w:ascii="Times New Roman" w:eastAsia="Times New Roman" w:hAnsi="Times New Roman" w:cs="Times New Roman"/>
          <w:b/>
          <w:bCs/>
          <w:color w:val="073763"/>
          <w:sz w:val="24"/>
          <w:szCs w:val="24"/>
        </w:rPr>
      </w:pPr>
      <w:bookmarkStart w:id="56" w:name="_j0al3e38bmvy" w:colFirst="0" w:colLast="0"/>
      <w:bookmarkEnd w:id="56"/>
    </w:p>
    <w:p w:rsidR="002F3A3D" w:rsidRDefault="002F3A3D">
      <w:pPr>
        <w:pStyle w:val="a3"/>
        <w:keepNext w:val="0"/>
        <w:keepLines w:val="0"/>
        <w:widowControl w:val="0"/>
        <w:rPr>
          <w:rFonts w:ascii="Times New Roman" w:eastAsia="Times New Roman" w:hAnsi="Times New Roman" w:cs="Times New Roman"/>
          <w:b/>
          <w:bCs/>
          <w:color w:val="073763"/>
          <w:sz w:val="24"/>
          <w:szCs w:val="24"/>
        </w:rPr>
      </w:pPr>
      <w:bookmarkStart w:id="57" w:name="_zcorjuvnebnh" w:colFirst="0" w:colLast="0"/>
      <w:bookmarkEnd w:id="57"/>
    </w:p>
    <w:p w:rsidR="002F3A3D" w:rsidRDefault="008028DE">
      <w:pPr>
        <w:pStyle w:val="a3"/>
        <w:keepNext w:val="0"/>
        <w:keepLines w:val="0"/>
        <w:widowControl w:val="0"/>
        <w:rPr>
          <w:rFonts w:ascii="Times New Roman" w:eastAsia="Times New Roman" w:hAnsi="Times New Roman" w:cs="Times New Roman"/>
          <w:b/>
          <w:bCs/>
          <w:color w:val="073763"/>
          <w:sz w:val="24"/>
          <w:szCs w:val="24"/>
        </w:rPr>
      </w:pPr>
      <w:bookmarkStart w:id="58" w:name="_g5hvtbd7gc2c" w:colFirst="0" w:colLast="0"/>
      <w:bookmarkEnd w:id="58"/>
      <w:r>
        <w:rPr>
          <w:rFonts w:ascii="Times New Roman" w:eastAsia="Times New Roman" w:hAnsi="Times New Roman" w:cs="Times New Roman"/>
          <w:b/>
          <w:bCs/>
          <w:color w:val="073763"/>
          <w:sz w:val="24"/>
          <w:szCs w:val="24"/>
        </w:rPr>
        <w:t>БЛОК 6. РЕСУРСНЕ ЗАБЕЗПЕЧЕННЯ</w:t>
      </w: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 Наявні ресурси</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наявних ресурсів здійснення профорієнтаційної роботи в громаді, подано в таблиці 36.</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36. Наявні ресурси, %</w:t>
      </w:r>
      <w:r>
        <w:rPr>
          <w:rFonts w:ascii="Times New Roman" w:eastAsia="Times New Roman" w:hAnsi="Times New Roman" w:cs="Times New Roman"/>
          <w:b/>
          <w:bCs/>
          <w:sz w:val="24"/>
          <w:szCs w:val="24"/>
        </w:rPr>
        <w:tab/>
      </w:r>
    </w:p>
    <w:tbl>
      <w:tblPr>
        <w:tblStyle w:val="aff9"/>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ресурсний потенціал Вашої громади (матеріали, техніка, приміщення) є достатнім для якісної профорієнтаційної роботи з дітьми та підлітками?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ресурсний потенціал Вашого закладу освіти (матеріали, техніка, приміщення) є достатнім для якісної профорієнтаційної роботи з дітьми та підлітками?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ресурсний потенціал школи Вашої дитини (матеріали, техніка, приміщення) є достатнім для якісної профорієнтаційної роботи з дітьми та підлітками?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Наскільки, на Вашу думку, ресурсний потенціал </w:t>
            </w:r>
            <w:proofErr w:type="spellStart"/>
            <w:r>
              <w:rPr>
                <w:rFonts w:ascii="Times New Roman" w:eastAsia="Times New Roman" w:hAnsi="Times New Roman" w:cs="Times New Roman"/>
                <w:sz w:val="16"/>
                <w:szCs w:val="16"/>
              </w:rPr>
              <w:t>Вашогопідприємства</w:t>
            </w:r>
            <w:proofErr w:type="spellEnd"/>
            <w:r>
              <w:rPr>
                <w:rFonts w:ascii="Times New Roman" w:eastAsia="Times New Roman" w:hAnsi="Times New Roman" w:cs="Times New Roman"/>
                <w:sz w:val="16"/>
                <w:szCs w:val="16"/>
              </w:rPr>
              <w:t>/організації/установи (матеріали, техніка, приміщення) є достатнім для якісної профорієнтаційної роботи з дітьми та підлітками?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достатньо у вашій школі матеріалів, техніки та приміщень для якісної профорієнтаційної роботи?</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Наскільки, на Вашу думку, ресурсний потенціал Вашої школи (матеріали, техніка, приміщення) був достатнім для якісної профорієнтаційної роботи з учнями?</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Повністю достатній</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Частково достатній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Скоріше недостатній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6.2. Потреби в ресурсах</w:t>
      </w: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потреб в ресурсах для здійснення профорієнтаційної роботи в громаді, подано в таблиці 37.</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37. Потреби в ресурсах, %</w:t>
      </w:r>
      <w:r>
        <w:rPr>
          <w:rFonts w:ascii="Times New Roman" w:eastAsia="Times New Roman" w:hAnsi="Times New Roman" w:cs="Times New Roman"/>
          <w:b/>
          <w:bCs/>
          <w:sz w:val="24"/>
          <w:szCs w:val="24"/>
        </w:rPr>
        <w:tab/>
      </w:r>
    </w:p>
    <w:tbl>
      <w:tblPr>
        <w:tblStyle w:val="affa"/>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Яких ресурсів найбільше бракує Вашій громаді для організації якісної профорієнтаційної роботи з дітьми та підлітками? (Можна обрати </w:t>
            </w:r>
            <w:r>
              <w:rPr>
                <w:rFonts w:ascii="Times New Roman" w:eastAsia="Times New Roman" w:hAnsi="Times New Roman" w:cs="Times New Roman"/>
                <w:sz w:val="16"/>
                <w:szCs w:val="16"/>
              </w:rPr>
              <w:lastRenderedPageBreak/>
              <w:t>декілька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Яких ресурсів найбільше бракує Вашому закладу освіти для організації якісної профорієнтаційної роботи з дітьми та підлітками? (Можна обрати </w:t>
            </w:r>
            <w:r>
              <w:rPr>
                <w:rFonts w:ascii="Times New Roman" w:eastAsia="Times New Roman" w:hAnsi="Times New Roman" w:cs="Times New Roman"/>
                <w:sz w:val="16"/>
                <w:szCs w:val="16"/>
              </w:rPr>
              <w:lastRenderedPageBreak/>
              <w:t>декілька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На Вашу думку, яких ресурсів найбільше бракує школі Вашої дитини для організації якісної профорієнтаційної роботи з дітьми та підлітками? </w:t>
            </w:r>
            <w:r>
              <w:rPr>
                <w:rFonts w:ascii="Times New Roman" w:eastAsia="Times New Roman" w:hAnsi="Times New Roman" w:cs="Times New Roman"/>
                <w:sz w:val="16"/>
                <w:szCs w:val="16"/>
              </w:rPr>
              <w:lastRenderedPageBreak/>
              <w:t>(Можна обрати декілька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Яких ресурсів бракує Вашому </w:t>
            </w:r>
            <w:proofErr w:type="spellStart"/>
            <w:r>
              <w:rPr>
                <w:rFonts w:ascii="Times New Roman" w:eastAsia="Times New Roman" w:hAnsi="Times New Roman" w:cs="Times New Roman"/>
                <w:sz w:val="16"/>
                <w:szCs w:val="16"/>
              </w:rPr>
              <w:t>підприєстві</w:t>
            </w:r>
            <w:proofErr w:type="spellEnd"/>
            <w:r>
              <w:rPr>
                <w:rFonts w:ascii="Times New Roman" w:eastAsia="Times New Roman" w:hAnsi="Times New Roman" w:cs="Times New Roman"/>
                <w:sz w:val="16"/>
                <w:szCs w:val="16"/>
              </w:rPr>
              <w:t xml:space="preserve">/організації/установі для організації якісної профорієнтаційної роботи з дітьми та підлітками? (Можна обрати </w:t>
            </w:r>
            <w:r>
              <w:rPr>
                <w:rFonts w:ascii="Times New Roman" w:eastAsia="Times New Roman" w:hAnsi="Times New Roman" w:cs="Times New Roman"/>
                <w:sz w:val="16"/>
                <w:szCs w:val="16"/>
              </w:rPr>
              <w:lastRenderedPageBreak/>
              <w:t>декілька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Чого, на твою думку, школі не вистачає для кращих профорієнтаційних заходів? (Можна обрати декілька варіантів відповіді)</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Чого, на Вашу думку, школі не вистачало для кращих профорієнтаційних заходів? (Можна обрати декілька варіантів відповіді)</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Сучасного простору із сучасним обладнанням для практичного ознайомлення з професією</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Методичних матеріалів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Кадрового забезпечення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Фінансування</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Транспорту для екскурсій</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Плану заходів або іншого програмного документу щодо системної профорієнтації дітей та підлітків</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Усіх перелічених ресурсів достатньо</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Інше (вкажіть)</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2F3A3D">
            <w:pPr>
              <w:widowControl w:val="0"/>
              <w:spacing w:line="240" w:lineRule="auto"/>
              <w:jc w:val="center"/>
              <w:rPr>
                <w:rFonts w:ascii="Times New Roman" w:eastAsia="Times New Roman" w:hAnsi="Times New Roman" w:cs="Times New Roman"/>
                <w:sz w:val="16"/>
                <w:szCs w:val="16"/>
              </w:rPr>
            </w:pP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6.3. Фінансове забезпечення</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шести цільових аудиторій щодо визначення фінансового забезпечення профорієнтаційної роботи в громаді, подано в таблиці 38.</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38. Фінансове забезпечення, %</w:t>
      </w:r>
      <w:r>
        <w:rPr>
          <w:rFonts w:ascii="Times New Roman" w:eastAsia="Times New Roman" w:hAnsi="Times New Roman" w:cs="Times New Roman"/>
          <w:b/>
          <w:bCs/>
          <w:sz w:val="24"/>
          <w:szCs w:val="24"/>
        </w:rPr>
        <w:tab/>
      </w:r>
    </w:p>
    <w:tbl>
      <w:tblPr>
        <w:tblStyle w:val="affb"/>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lastRenderedPageBreak/>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є у бюджеті Вашої громади окремі видатки для фінансування профорієнтаційної роботи з дітьми та підлітками?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передбачено в бюджеті Вашої громади окремі кошти на фінансування профорієнтаційної роботи у вашому закладі освіти?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витрачає ваша родина власні кошти на профорієнтаційні заходи або активності для вашої дитини (тести, консультації, курси, майстер-класи тощо)?</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готове Ваше підприємство/установа/організація мати окремі </w:t>
            </w:r>
            <w:proofErr w:type="spellStart"/>
            <w:r>
              <w:rPr>
                <w:rFonts w:ascii="Times New Roman" w:eastAsia="Times New Roman" w:hAnsi="Times New Roman" w:cs="Times New Roman"/>
                <w:sz w:val="16"/>
                <w:szCs w:val="16"/>
              </w:rPr>
              <w:t>видакти</w:t>
            </w:r>
            <w:proofErr w:type="spellEnd"/>
            <w:r>
              <w:rPr>
                <w:rFonts w:ascii="Times New Roman" w:eastAsia="Times New Roman" w:hAnsi="Times New Roman" w:cs="Times New Roman"/>
                <w:sz w:val="16"/>
                <w:szCs w:val="16"/>
              </w:rPr>
              <w:t xml:space="preserve"> на </w:t>
            </w:r>
            <w:proofErr w:type="spellStart"/>
            <w:r>
              <w:rPr>
                <w:rFonts w:ascii="Times New Roman" w:eastAsia="Times New Roman" w:hAnsi="Times New Roman" w:cs="Times New Roman"/>
                <w:sz w:val="16"/>
                <w:szCs w:val="16"/>
              </w:rPr>
              <w:t>зідйснення</w:t>
            </w:r>
            <w:proofErr w:type="spellEnd"/>
            <w:r>
              <w:rPr>
                <w:rFonts w:ascii="Times New Roman" w:eastAsia="Times New Roman" w:hAnsi="Times New Roman" w:cs="Times New Roman"/>
                <w:sz w:val="16"/>
                <w:szCs w:val="16"/>
              </w:rPr>
              <w:t xml:space="preserve"> профорієнтаційних заходів для дітей та підлітків?</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доводиться твоїй родині витрачати власні кошти на профорієнтаційні заходи або можливості (наприклад, тести, консультації, майстер-класи, поїздки)?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доводилося Вашій родині витрачати власні кошти на профорієнтаційні заходи або можливості (наприклад, тести, консультації, майстер-класи, поїздки)?</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Так</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Ні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rPr>
                <w:rFonts w:ascii="Times New Roman" w:eastAsia="Times New Roman" w:hAnsi="Times New Roman" w:cs="Times New Roman"/>
                <w:sz w:val="16"/>
                <w:szCs w:val="16"/>
                <w:shd w:val="clear" w:color="auto" w:fill="FFF2CC"/>
              </w:rPr>
            </w:pPr>
            <w:r>
              <w:rPr>
                <w:rFonts w:ascii="Times New Roman" w:eastAsia="Times New Roman" w:hAnsi="Times New Roman" w:cs="Times New Roman"/>
                <w:sz w:val="16"/>
                <w:szCs w:val="16"/>
                <w:shd w:val="clear" w:color="auto" w:fill="FFF2CC"/>
              </w:rPr>
              <w:t>Складно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Учні ЗЗСО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6.4. Джерела і практики залучення ресурсів</w:t>
      </w:r>
    </w:p>
    <w:p w:rsidR="002F3A3D" w:rsidRDefault="002F3A3D">
      <w:pPr>
        <w:spacing w:line="240" w:lineRule="auto"/>
        <w:ind w:left="720"/>
        <w:jc w:val="both"/>
        <w:rPr>
          <w:rFonts w:ascii="Times New Roman" w:eastAsia="Times New Roman" w:hAnsi="Times New Roman" w:cs="Times New Roman"/>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п’яти цільових аудиторій щодо визначення джерел і практик залучення ресурсів для забезпечення профорієнтаційної роботи в громаді, подано в таблиці 39.</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39. Джерела і практики залучення ресурсів, %</w:t>
      </w:r>
      <w:r>
        <w:rPr>
          <w:rFonts w:ascii="Times New Roman" w:eastAsia="Times New Roman" w:hAnsi="Times New Roman" w:cs="Times New Roman"/>
          <w:b/>
          <w:bCs/>
          <w:sz w:val="24"/>
          <w:szCs w:val="24"/>
        </w:rPr>
        <w:tab/>
      </w:r>
    </w:p>
    <w:tbl>
      <w:tblPr>
        <w:tblStyle w:val="affc"/>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2F3A3D">
        <w:trPr>
          <w:trHeight w:val="750"/>
        </w:trPr>
        <w:tc>
          <w:tcPr>
            <w:tcW w:w="150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50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50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50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504"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504"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50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 яких джерел Ваша громада вже залучала ресурси для організації профорієнтаційної роботи з дітьми та підлітками? (Можна обрати декілька варіантів відповіді)</w:t>
            </w:r>
          </w:p>
        </w:tc>
        <w:tc>
          <w:tcPr>
            <w:tcW w:w="150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 яких джерел Ваш заклад освіти вже залучав ресурси для організації профорієнтаційної роботи з дітьми та підлітками? (Можна обрати декілька варіантів відповіді)</w:t>
            </w:r>
          </w:p>
        </w:tc>
        <w:tc>
          <w:tcPr>
            <w:tcW w:w="150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За Вашими спостереженнями, з яких джерел школа або громада раніше залучали ресурси для профорієнтаційних заходів для дітей та підлітків? (Можна обрати декілька </w:t>
            </w:r>
            <w:r>
              <w:rPr>
                <w:rFonts w:ascii="Times New Roman" w:eastAsia="Times New Roman" w:hAnsi="Times New Roman" w:cs="Times New Roman"/>
                <w:sz w:val="16"/>
                <w:szCs w:val="16"/>
              </w:rPr>
              <w:lastRenderedPageBreak/>
              <w:t>варіантів відповіді)</w:t>
            </w:r>
          </w:p>
        </w:tc>
        <w:tc>
          <w:tcPr>
            <w:tcW w:w="1504"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З яких джерел Ваше підприємство / установа / організація вже залучало ресурси для проведення у співпраці із закладами освіти профорієнтаційних заходів для дітей та </w:t>
            </w:r>
            <w:r>
              <w:rPr>
                <w:rFonts w:ascii="Times New Roman" w:eastAsia="Times New Roman" w:hAnsi="Times New Roman" w:cs="Times New Roman"/>
                <w:sz w:val="16"/>
                <w:szCs w:val="16"/>
              </w:rPr>
              <w:lastRenderedPageBreak/>
              <w:t>підлітків Вашої громади? (Можна обрати декілька варіантів відповіді)</w:t>
            </w:r>
          </w:p>
        </w:tc>
        <w:tc>
          <w:tcPr>
            <w:tcW w:w="1504" w:type="dxa"/>
            <w:tcBorders>
              <w:top w:val="single" w:sz="4" w:space="0" w:color="000000"/>
              <w:left w:val="single" w:sz="6"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 xml:space="preserve">За Вашими спостереженнями, з яких джерел школа або громада раніше залучали ресурси для профорієнтаційних заходів для дітей та підлітків? (Можна обрати декілька </w:t>
            </w:r>
            <w:r>
              <w:rPr>
                <w:rFonts w:ascii="Times New Roman" w:eastAsia="Times New Roman" w:hAnsi="Times New Roman" w:cs="Times New Roman"/>
                <w:sz w:val="16"/>
                <w:szCs w:val="16"/>
              </w:rPr>
              <w:lastRenderedPageBreak/>
              <w:t>варіантів відповіді)</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Місцевий бюджет</w:t>
            </w:r>
          </w:p>
        </w:tc>
        <w:tc>
          <w:tcPr>
            <w:tcW w:w="1504"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Державні програми та субвенції</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Донорські проєкти / гранти</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Меценатська підтримка місцевих роботодавців</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Батьківські внески</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Заходи не фінансуються</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Заходи не проводяться</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504"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504"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5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spacing w:line="240" w:lineRule="auto"/>
        <w:ind w:left="720"/>
        <w:jc w:val="both"/>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6. “Ресурсне забезпечення”</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8028DE">
      <w:pPr>
        <w:pStyle w:val="a3"/>
        <w:rPr>
          <w:rFonts w:ascii="Times New Roman" w:eastAsia="Times New Roman" w:hAnsi="Times New Roman" w:cs="Times New Roman"/>
          <w:b/>
          <w:bCs/>
          <w:color w:val="073763"/>
          <w:sz w:val="24"/>
          <w:szCs w:val="24"/>
        </w:rPr>
      </w:pPr>
      <w:bookmarkStart w:id="59" w:name="_4u2mcldkiekh" w:colFirst="0" w:colLast="0"/>
      <w:bookmarkEnd w:id="59"/>
      <w:r>
        <w:rPr>
          <w:rFonts w:ascii="Times New Roman" w:eastAsia="Times New Roman" w:hAnsi="Times New Roman" w:cs="Times New Roman"/>
          <w:b/>
          <w:bCs/>
          <w:color w:val="073763"/>
          <w:sz w:val="24"/>
          <w:szCs w:val="24"/>
        </w:rPr>
        <w:t>БЛОК 7. УСПІШНІ ПРАКТИКИ</w:t>
      </w:r>
    </w:p>
    <w:p w:rsidR="002F3A3D" w:rsidRDefault="002F3A3D"/>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7.1. Обізнаність про успішні практики профорієнтаційної роботи з дітьми та підлітками</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п’яти цільових аудиторій щодо визначення обізнаності про успішні практики профорієнтаційної роботи з дітьми та підлітками подано в таблиці 40.</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Таблиця 40. Обізнаність про успішні практики профорієнтаційної роботи з дітьми та підлітками, %</w:t>
      </w:r>
      <w:r>
        <w:rPr>
          <w:rFonts w:ascii="Times New Roman" w:eastAsia="Times New Roman" w:hAnsi="Times New Roman" w:cs="Times New Roman"/>
          <w:b/>
          <w:bCs/>
          <w:sz w:val="24"/>
          <w:szCs w:val="24"/>
        </w:rPr>
        <w:tab/>
      </w:r>
    </w:p>
    <w:tbl>
      <w:tblPr>
        <w:tblStyle w:val="affd"/>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знаєте Ви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 які реалізуються в інших громадах?</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знаєте Ви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 які реалізуються в інших закладах освіти або громадах?</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знаєте Ви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 які реалізуються в інших школах або громадах?</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знайомі Вам успішні приклади профорієнтаційної взаємодії між місцевими </w:t>
            </w:r>
            <w:proofErr w:type="spellStart"/>
            <w:r>
              <w:rPr>
                <w:rFonts w:ascii="Times New Roman" w:eastAsia="Times New Roman" w:hAnsi="Times New Roman" w:cs="Times New Roman"/>
                <w:sz w:val="16"/>
                <w:szCs w:val="16"/>
              </w:rPr>
              <w:t>підприєствами</w:t>
            </w:r>
            <w:proofErr w:type="spellEnd"/>
            <w:r>
              <w:rPr>
                <w:rFonts w:ascii="Times New Roman" w:eastAsia="Times New Roman" w:hAnsi="Times New Roman" w:cs="Times New Roman"/>
                <w:sz w:val="16"/>
                <w:szCs w:val="16"/>
              </w:rPr>
              <w:t>/організаціями/установами і закладами освіти в інших громадах?</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знаєш ти про цікаві або успішні профорієнтаційні заходи для учнів, які проводять інші школи чи громади?</w:t>
            </w:r>
          </w:p>
        </w:tc>
        <w:tc>
          <w:tcPr>
            <w:tcW w:w="1289" w:type="dxa"/>
            <w:tcBorders>
              <w:top w:val="single" w:sz="4" w:space="0" w:color="000000"/>
              <w:left w:val="single" w:sz="4" w:space="0" w:color="000000"/>
              <w:bottom w:val="single" w:sz="4" w:space="0" w:color="000000"/>
              <w:right w:val="single" w:sz="4"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знаєте Ви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 які реалізуються в інших закладах освіти або громадах?</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але хотів/ла би дізнатися</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не цікавлюсь цим</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4" w:space="0" w:color="000000"/>
              <w:left w:val="single" w:sz="4" w:space="0" w:color="000000"/>
              <w:bottom w:val="single" w:sz="4" w:space="0" w:color="000000"/>
              <w:right w:val="single" w:sz="4"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 Наявність у громаді успішних практик профорієнтаційної роботи з дітьми та підлітками</w:t>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п’яти цільових аудиторій щодо визначення наявності у громаді успішних практик профорієнтаційної роботи з дітьми та підлітками подано в таблиці 41.</w:t>
      </w:r>
    </w:p>
    <w:p w:rsidR="002F3A3D" w:rsidRDefault="002F3A3D">
      <w:pPr>
        <w:ind w:firstLine="720"/>
        <w:jc w:val="both"/>
        <w:rPr>
          <w:rFonts w:ascii="Times New Roman" w:eastAsia="Times New Roman" w:hAnsi="Times New Roman" w:cs="Times New Roman"/>
          <w:sz w:val="24"/>
          <w:szCs w:val="24"/>
        </w:rPr>
      </w:pPr>
    </w:p>
    <w:p w:rsidR="002F3A3D" w:rsidRDefault="008028DE">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Таблиця 41. Наявність у громаді успішних практик профорієнтаційної роботи з дітьми та підлітками, %</w:t>
      </w:r>
      <w:r>
        <w:rPr>
          <w:rFonts w:ascii="Times New Roman" w:eastAsia="Times New Roman" w:hAnsi="Times New Roman" w:cs="Times New Roman"/>
          <w:b/>
          <w:bCs/>
          <w:sz w:val="24"/>
          <w:szCs w:val="24"/>
        </w:rPr>
        <w:tab/>
      </w:r>
    </w:p>
    <w:tbl>
      <w:tblPr>
        <w:tblStyle w:val="affe"/>
        <w:tblW w:w="9029"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90"/>
        <w:gridCol w:w="1290"/>
        <w:gridCol w:w="1290"/>
        <w:gridCol w:w="1290"/>
        <w:gridCol w:w="1290"/>
        <w:gridCol w:w="1290"/>
      </w:tblGrid>
      <w:tr w:rsidR="002F3A3D">
        <w:trPr>
          <w:trHeight w:val="750"/>
        </w:trPr>
        <w:tc>
          <w:tcPr>
            <w:tcW w:w="1289"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Варіанти відповідей</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Місцева влада</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Представники ЗЗСО та ЗПО</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Батьки учнів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Місцеві роботодавці</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Учні ЗЗСО (10-18 р.)</w:t>
            </w:r>
          </w:p>
        </w:tc>
        <w:tc>
          <w:tcPr>
            <w:tcW w:w="1289" w:type="dxa"/>
            <w:tcBorders>
              <w:top w:val="single" w:sz="4" w:space="0" w:color="000000"/>
              <w:left w:val="single" w:sz="4" w:space="0" w:color="000000"/>
              <w:bottom w:val="single" w:sz="6"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Випускники ЗЗСО громади (14-22 р.)</w:t>
            </w:r>
          </w:p>
        </w:tc>
      </w:tr>
      <w:tr w:rsidR="002F3A3D">
        <w:trPr>
          <w:trHeight w:val="1328"/>
        </w:trPr>
        <w:tc>
          <w:tcPr>
            <w:tcW w:w="1289" w:type="dxa"/>
            <w:vMerge/>
            <w:tcBorders>
              <w:top w:val="single" w:sz="4" w:space="0" w:color="000000"/>
              <w:left w:val="single" w:sz="4" w:space="0" w:color="000000"/>
              <w:bottom w:val="single" w:sz="6" w:space="0" w:color="000000"/>
              <w:right w:val="single" w:sz="6" w:space="0" w:color="000000"/>
            </w:tcBorders>
            <w:tcMar>
              <w:top w:w="40" w:type="dxa"/>
              <w:left w:w="40" w:type="dxa"/>
              <w:bottom w:w="40" w:type="dxa"/>
              <w:right w:w="40" w:type="dxa"/>
            </w:tcMar>
            <w:vAlign w:val="bottom"/>
          </w:tcPr>
          <w:p w:rsidR="002F3A3D" w:rsidRDefault="002F3A3D">
            <w:pPr>
              <w:widowControl w:val="0"/>
              <w:spacing w:line="240" w:lineRule="auto"/>
              <w:rPr>
                <w:rFonts w:ascii="Times New Roman" w:eastAsia="Times New Roman" w:hAnsi="Times New Roman" w:cs="Times New Roman"/>
                <w:b/>
                <w:bCs/>
                <w:sz w:val="20"/>
                <w:szCs w:val="20"/>
              </w:rPr>
            </w:pP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є у Вашій громаді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має Ваш заклад освіти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має школа Вашої дитини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має Ваше </w:t>
            </w:r>
            <w:proofErr w:type="spellStart"/>
            <w:r>
              <w:rPr>
                <w:rFonts w:ascii="Times New Roman" w:eastAsia="Times New Roman" w:hAnsi="Times New Roman" w:cs="Times New Roman"/>
                <w:sz w:val="16"/>
                <w:szCs w:val="16"/>
              </w:rPr>
              <w:t>підприєство</w:t>
            </w:r>
            <w:proofErr w:type="spellEnd"/>
            <w:r>
              <w:rPr>
                <w:rFonts w:ascii="Times New Roman" w:eastAsia="Times New Roman" w:hAnsi="Times New Roman" w:cs="Times New Roman"/>
                <w:sz w:val="16"/>
                <w:szCs w:val="16"/>
              </w:rPr>
              <w:t xml:space="preserve">/установа/організація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Чи є у твоїй школі цікаві або успішні профорієнтаційні заходи для учнів?</w:t>
            </w:r>
          </w:p>
        </w:tc>
        <w:tc>
          <w:tcPr>
            <w:tcW w:w="128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Чи мала школа, в якій Ви навчалися, успішні практики профорієнтаційної роботи з дітьми та </w:t>
            </w:r>
            <w:proofErr w:type="spellStart"/>
            <w:r>
              <w:rPr>
                <w:rFonts w:ascii="Times New Roman" w:eastAsia="Times New Roman" w:hAnsi="Times New Roman" w:cs="Times New Roman"/>
                <w:sz w:val="16"/>
                <w:szCs w:val="16"/>
              </w:rPr>
              <w:t>піділтками</w:t>
            </w:r>
            <w:proofErr w:type="spellEnd"/>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Так</w:t>
            </w:r>
          </w:p>
        </w:tc>
        <w:tc>
          <w:tcPr>
            <w:tcW w:w="1289" w:type="dxa"/>
            <w:tcBorders>
              <w:top w:val="single" w:sz="6"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6"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немає</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Ні, але хотілося б</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r w:rsidR="002F3A3D">
        <w:tc>
          <w:tcPr>
            <w:tcW w:w="1289" w:type="dxa"/>
            <w:tcBorders>
              <w:top w:val="single" w:sz="6" w:space="0" w:color="000000"/>
              <w:left w:val="single" w:sz="6" w:space="0" w:color="000000"/>
              <w:bottom w:val="single" w:sz="6" w:space="0" w:color="000000"/>
              <w:right w:val="single" w:sz="6" w:space="0" w:color="000000"/>
            </w:tcBorders>
            <w:shd w:val="clear" w:color="auto" w:fill="FFF2CC"/>
            <w:tcMar>
              <w:top w:w="40" w:type="dxa"/>
              <w:left w:w="40" w:type="dxa"/>
              <w:bottom w:w="40" w:type="dxa"/>
              <w:right w:w="40" w:type="dxa"/>
            </w:tcMar>
            <w:vAlign w:val="bottom"/>
          </w:tcPr>
          <w:p w:rsidR="002F3A3D" w:rsidRDefault="008028DE">
            <w:pPr>
              <w:widowControl w:val="0"/>
              <w:spacing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Важко відповісти</w:t>
            </w:r>
          </w:p>
        </w:tc>
        <w:tc>
          <w:tcPr>
            <w:tcW w:w="1289" w:type="dxa"/>
            <w:tcBorders>
              <w:top w:val="single" w:sz="4" w:space="0" w:color="000000"/>
              <w:left w:val="single" w:sz="6"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c>
          <w:tcPr>
            <w:tcW w:w="128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2F3A3D" w:rsidRDefault="008028DE">
            <w:pPr>
              <w:widowControl w:val="0"/>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p>
        </w:tc>
      </w:tr>
    </w:tbl>
    <w:p w:rsidR="002F3A3D" w:rsidRDefault="002F3A3D">
      <w:pPr>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запитання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тенденції, виявлені за результатами аналізу відповідей кожної цільової аудиторії окремо, а також визначити узгоджені позиції та розбіжності між аудиторіями. Слід уникати інтерпретацій, не підтверджених даними опитування.</w:t>
      </w:r>
    </w:p>
    <w:p w:rsidR="002F3A3D" w:rsidRDefault="002F3A3D">
      <w:pPr>
        <w:rPr>
          <w:rFonts w:ascii="Times New Roman" w:eastAsia="Times New Roman" w:hAnsi="Times New Roman" w:cs="Times New Roman"/>
          <w:color w:val="FF00FF"/>
          <w:sz w:val="24"/>
          <w:szCs w:val="24"/>
        </w:rPr>
      </w:pPr>
    </w:p>
    <w:p w:rsidR="002F3A3D" w:rsidRDefault="008028DE">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 Приклади успішних профорієнтаційних практик</w:t>
      </w:r>
      <w:r>
        <w:rPr>
          <w:rFonts w:ascii="Times New Roman" w:eastAsia="Times New Roman" w:hAnsi="Times New Roman" w:cs="Times New Roman"/>
          <w:b/>
          <w:bCs/>
          <w:sz w:val="24"/>
          <w:szCs w:val="24"/>
        </w:rPr>
        <w:tab/>
      </w:r>
    </w:p>
    <w:p w:rsidR="002F3A3D" w:rsidRDefault="002F3A3D">
      <w:pPr>
        <w:spacing w:line="240" w:lineRule="auto"/>
        <w:jc w:val="both"/>
        <w:rPr>
          <w:rFonts w:ascii="Times New Roman" w:eastAsia="Times New Roman" w:hAnsi="Times New Roman" w:cs="Times New Roman"/>
          <w:b/>
          <w:bCs/>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Приклади цитат (до 5 для кожної цільової аудиторії):</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Висновки:</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Місцева влада</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Представники ЗЗСО та ЗПО</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Батьки учнів 10-18 р.</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Місцеві роботодавці</w:t>
      </w:r>
    </w:p>
    <w:p w:rsidR="002F3A3D" w:rsidRDefault="008028DE">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Випускники ЗЗСО громади (14-22 р.)</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до цього запитання необхідно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ключові змістові тенденції, виявлені під час аналізу відповідей кожної з шести цільових аудиторій окремо. Під час узагальнення варто:</w:t>
      </w:r>
    </w:p>
    <w:p w:rsidR="002F3A3D" w:rsidRDefault="008028DE">
      <w:pPr>
        <w:numPr>
          <w:ilvl w:val="0"/>
          <w:numId w:val="18"/>
        </w:numPr>
        <w:rPr>
          <w:rFonts w:ascii="Times New Roman" w:eastAsia="Times New Roman" w:hAnsi="Times New Roman" w:cs="Times New Roman"/>
          <w:color w:val="FF00FF"/>
          <w:sz w:val="24"/>
          <w:szCs w:val="24"/>
        </w:rPr>
      </w:pPr>
      <w:r>
        <w:rPr>
          <w:rFonts w:ascii="Times New Roman" w:eastAsia="Times New Roman" w:hAnsi="Times New Roman" w:cs="Times New Roman"/>
          <w:color w:val="FF00FF"/>
          <w:sz w:val="24"/>
          <w:szCs w:val="24"/>
        </w:rPr>
        <w:lastRenderedPageBreak/>
        <w:t>виокремити основні типи успішних практик та прикладів профорієнтаційної роботи, які згадують учасники кожної групи;</w:t>
      </w:r>
    </w:p>
    <w:p w:rsidR="002F3A3D" w:rsidRDefault="008028DE">
      <w:pPr>
        <w:numPr>
          <w:ilvl w:val="0"/>
          <w:numId w:val="18"/>
        </w:numPr>
        <w:rPr>
          <w:rFonts w:ascii="Times New Roman" w:eastAsia="Times New Roman" w:hAnsi="Times New Roman" w:cs="Times New Roman"/>
          <w:color w:val="FF00FF"/>
          <w:sz w:val="24"/>
          <w:szCs w:val="24"/>
        </w:rPr>
      </w:pPr>
      <w:r>
        <w:rPr>
          <w:rFonts w:ascii="Times New Roman" w:eastAsia="Times New Roman" w:hAnsi="Times New Roman" w:cs="Times New Roman"/>
          <w:color w:val="FF00FF"/>
          <w:sz w:val="24"/>
          <w:szCs w:val="24"/>
        </w:rPr>
        <w:t xml:space="preserve">звернути увагу на характер </w:t>
      </w:r>
      <w:proofErr w:type="spellStart"/>
      <w:r>
        <w:rPr>
          <w:rFonts w:ascii="Times New Roman" w:eastAsia="Times New Roman" w:hAnsi="Times New Roman" w:cs="Times New Roman"/>
          <w:color w:val="FF00FF"/>
          <w:sz w:val="24"/>
          <w:szCs w:val="24"/>
        </w:rPr>
        <w:t>вза</w:t>
      </w:r>
      <w:proofErr w:type="spellEnd"/>
      <w:r>
        <w:rPr>
          <w:rFonts w:ascii="Times New Roman" w:eastAsia="Times New Roman" w:hAnsi="Times New Roman" w:cs="Times New Roman"/>
          <w:color w:val="FF00FF"/>
          <w:sz w:val="24"/>
          <w:szCs w:val="24"/>
        </w:rPr>
        <w:t xml:space="preserve"> взаємодії між школами, громадами, батьками та місцевими роботодавцями, якщо це відображено у відповідях;</w:t>
      </w:r>
    </w:p>
    <w:p w:rsidR="002F3A3D" w:rsidRDefault="008028DE">
      <w:pPr>
        <w:numPr>
          <w:ilvl w:val="0"/>
          <w:numId w:val="18"/>
        </w:numPr>
        <w:rPr>
          <w:rFonts w:ascii="Times New Roman" w:eastAsia="Times New Roman" w:hAnsi="Times New Roman" w:cs="Times New Roman"/>
          <w:color w:val="FF00FF"/>
          <w:sz w:val="24"/>
          <w:szCs w:val="24"/>
        </w:rPr>
      </w:pPr>
      <w:r>
        <w:rPr>
          <w:rFonts w:ascii="Times New Roman" w:eastAsia="Times New Roman" w:hAnsi="Times New Roman" w:cs="Times New Roman"/>
          <w:color w:val="FF00FF"/>
          <w:sz w:val="24"/>
          <w:szCs w:val="24"/>
        </w:rPr>
        <w:t>визначити спільні позиції та узгоджені погляди, що повторюються у кількох аудиторіях;</w:t>
      </w:r>
    </w:p>
    <w:p w:rsidR="002F3A3D" w:rsidRDefault="008028DE">
      <w:pPr>
        <w:numPr>
          <w:ilvl w:val="0"/>
          <w:numId w:val="18"/>
        </w:numPr>
        <w:rPr>
          <w:rFonts w:ascii="Times New Roman" w:eastAsia="Times New Roman" w:hAnsi="Times New Roman" w:cs="Times New Roman"/>
          <w:color w:val="FF00FF"/>
          <w:sz w:val="24"/>
          <w:szCs w:val="24"/>
        </w:rPr>
      </w:pPr>
      <w:r>
        <w:rPr>
          <w:rFonts w:ascii="Times New Roman" w:eastAsia="Times New Roman" w:hAnsi="Times New Roman" w:cs="Times New Roman"/>
          <w:color w:val="FF00FF"/>
          <w:sz w:val="24"/>
          <w:szCs w:val="24"/>
        </w:rPr>
        <w:t>виявити відмінності та розбіжності між аудиторіями, зокрема в оцінках ефективності, наявних можливостях чи бар’єрах.</w:t>
      </w:r>
    </w:p>
    <w:p w:rsidR="002F3A3D" w:rsidRDefault="008028DE">
      <w:pPr>
        <w:rPr>
          <w:rFonts w:ascii="Times New Roman" w:eastAsia="Times New Roman" w:hAnsi="Times New Roman" w:cs="Times New Roman"/>
          <w:color w:val="FF00FF"/>
          <w:sz w:val="24"/>
          <w:szCs w:val="24"/>
        </w:rPr>
      </w:pPr>
      <w:r>
        <w:rPr>
          <w:rFonts w:ascii="Times New Roman" w:eastAsia="Times New Roman" w:hAnsi="Times New Roman" w:cs="Times New Roman"/>
          <w:color w:val="FF00FF"/>
          <w:sz w:val="24"/>
          <w:szCs w:val="24"/>
        </w:rPr>
        <w:t>Під час інтерпретації відповідей слід уникати припущень, які не підтверджені фактичними даними опитування, а також не допускати надмірних узагальнень. Усі висновки мають базуватися виключно на змістовому аналізі отриманих відповідей та характерних для них повторюваних смислових акцентів.</w:t>
      </w:r>
    </w:p>
    <w:p w:rsidR="002F3A3D" w:rsidRDefault="002F3A3D">
      <w:pPr>
        <w:spacing w:line="240" w:lineRule="auto"/>
        <w:jc w:val="both"/>
        <w:rPr>
          <w:rFonts w:ascii="Times New Roman" w:eastAsia="Times New Roman" w:hAnsi="Times New Roman" w:cs="Times New Roman"/>
          <w:b/>
          <w:bCs/>
          <w:color w:val="1C4587"/>
          <w:sz w:val="24"/>
          <w:szCs w:val="24"/>
        </w:rPr>
      </w:pPr>
    </w:p>
    <w:p w:rsidR="002F3A3D" w:rsidRDefault="008028DE">
      <w:pPr>
        <w:rPr>
          <w:rFonts w:ascii="Times New Roman" w:eastAsia="Times New Roman" w:hAnsi="Times New Roman" w:cs="Times New Roman"/>
          <w:b/>
          <w:bCs/>
          <w:sz w:val="24"/>
          <w:szCs w:val="24"/>
        </w:rPr>
      </w:pPr>
      <w:r>
        <w:rPr>
          <w:rFonts w:ascii="Times New Roman" w:eastAsia="Times New Roman" w:hAnsi="Times New Roman" w:cs="Times New Roman"/>
          <w:b/>
          <w:bCs/>
          <w:color w:val="1C4587"/>
          <w:sz w:val="24"/>
          <w:szCs w:val="24"/>
        </w:rPr>
        <w:t>Висновки до блоку 7. “Успішні практики”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Загальні тенденції</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Позитивні аспекти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Виклики</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Перспективи </w:t>
      </w:r>
    </w:p>
    <w:p w:rsidR="002F3A3D" w:rsidRDefault="008028DE">
      <w:pPr>
        <w:numPr>
          <w:ilvl w:val="0"/>
          <w:numId w:val="19"/>
        </w:numPr>
        <w:rPr>
          <w:rFonts w:ascii="Times New Roman" w:eastAsia="Times New Roman" w:hAnsi="Times New Roman" w:cs="Times New Roman"/>
          <w:sz w:val="24"/>
          <w:szCs w:val="24"/>
        </w:rPr>
      </w:pPr>
      <w:r>
        <w:rPr>
          <w:rFonts w:ascii="Times New Roman" w:eastAsia="Times New Roman" w:hAnsi="Times New Roman" w:cs="Times New Roman"/>
          <w:sz w:val="24"/>
          <w:szCs w:val="24"/>
        </w:rPr>
        <w:t>Інші важливі спостереження</w:t>
      </w:r>
    </w:p>
    <w:p w:rsidR="002F3A3D" w:rsidRDefault="008028DE">
      <w:pPr>
        <w:rPr>
          <w:color w:val="38761D"/>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 xml:space="preserve">У висновках слід </w:t>
      </w:r>
      <w:proofErr w:type="spellStart"/>
      <w:r>
        <w:rPr>
          <w:rFonts w:ascii="Times New Roman" w:eastAsia="Times New Roman" w:hAnsi="Times New Roman" w:cs="Times New Roman"/>
          <w:color w:val="FF00FF"/>
          <w:sz w:val="24"/>
          <w:szCs w:val="24"/>
        </w:rPr>
        <w:t>тезово</w:t>
      </w:r>
      <w:proofErr w:type="spellEnd"/>
      <w:r>
        <w:rPr>
          <w:rFonts w:ascii="Times New Roman" w:eastAsia="Times New Roman" w:hAnsi="Times New Roman" w:cs="Times New Roman"/>
          <w:color w:val="FF00FF"/>
          <w:sz w:val="24"/>
          <w:szCs w:val="24"/>
        </w:rPr>
        <w:t xml:space="preserve"> узагальнити основні результати блоку, виокремивши загальні тенденції, позитивні аспекти, проблеми, виклики та перспективи, що постають із відповідей респондентів різної цільової </w:t>
      </w:r>
      <w:proofErr w:type="spellStart"/>
      <w:r>
        <w:rPr>
          <w:rFonts w:ascii="Times New Roman" w:eastAsia="Times New Roman" w:hAnsi="Times New Roman" w:cs="Times New Roman"/>
          <w:color w:val="FF00FF"/>
          <w:sz w:val="24"/>
          <w:szCs w:val="24"/>
        </w:rPr>
        <w:t>аудиторії.Слід</w:t>
      </w:r>
      <w:proofErr w:type="spellEnd"/>
      <w:r>
        <w:rPr>
          <w:rFonts w:ascii="Times New Roman" w:eastAsia="Times New Roman" w:hAnsi="Times New Roman" w:cs="Times New Roman"/>
          <w:color w:val="FF00FF"/>
          <w:sz w:val="24"/>
          <w:szCs w:val="24"/>
        </w:rPr>
        <w:t xml:space="preserve"> уникати інтерпретацій, не підтверджених даними опитування.</w:t>
      </w:r>
    </w:p>
    <w:p w:rsidR="002F3A3D" w:rsidRDefault="002F3A3D">
      <w:pPr>
        <w:pStyle w:val="a3"/>
        <w:rPr>
          <w:rFonts w:ascii="Times New Roman" w:eastAsia="Times New Roman" w:hAnsi="Times New Roman" w:cs="Times New Roman"/>
          <w:b/>
          <w:bCs/>
          <w:color w:val="073763"/>
          <w:sz w:val="24"/>
          <w:szCs w:val="24"/>
        </w:rPr>
      </w:pPr>
      <w:bookmarkStart w:id="60" w:name="_rq92d8ggwfgk" w:colFirst="0" w:colLast="0"/>
      <w:bookmarkEnd w:id="60"/>
    </w:p>
    <w:p w:rsidR="002F3A3D" w:rsidRDefault="002F3A3D">
      <w:pPr>
        <w:pStyle w:val="a3"/>
        <w:rPr>
          <w:rFonts w:ascii="Times New Roman" w:eastAsia="Times New Roman" w:hAnsi="Times New Roman" w:cs="Times New Roman"/>
          <w:b/>
          <w:bCs/>
          <w:color w:val="073763"/>
          <w:sz w:val="24"/>
          <w:szCs w:val="24"/>
        </w:rPr>
      </w:pPr>
      <w:bookmarkStart w:id="61" w:name="_e4wtanlx1r2z" w:colFirst="0" w:colLast="0"/>
      <w:bookmarkEnd w:id="61"/>
    </w:p>
    <w:p w:rsidR="002F3A3D" w:rsidRDefault="002F3A3D">
      <w:pPr>
        <w:pStyle w:val="a3"/>
        <w:rPr>
          <w:rFonts w:ascii="Times New Roman" w:eastAsia="Times New Roman" w:hAnsi="Times New Roman" w:cs="Times New Roman"/>
          <w:b/>
          <w:bCs/>
          <w:color w:val="073763"/>
          <w:sz w:val="24"/>
          <w:szCs w:val="24"/>
        </w:rPr>
      </w:pPr>
      <w:bookmarkStart w:id="62" w:name="_avn8afnusrq0" w:colFirst="0" w:colLast="0"/>
      <w:bookmarkEnd w:id="62"/>
    </w:p>
    <w:p w:rsidR="002F3A3D" w:rsidRDefault="002F3A3D">
      <w:pPr>
        <w:pStyle w:val="a3"/>
        <w:rPr>
          <w:rFonts w:ascii="Times New Roman" w:eastAsia="Times New Roman" w:hAnsi="Times New Roman" w:cs="Times New Roman"/>
          <w:b/>
          <w:bCs/>
          <w:color w:val="073763"/>
          <w:sz w:val="24"/>
          <w:szCs w:val="24"/>
        </w:rPr>
      </w:pPr>
      <w:bookmarkStart w:id="63" w:name="_lyovqihfz3vs" w:colFirst="0" w:colLast="0"/>
      <w:bookmarkEnd w:id="63"/>
    </w:p>
    <w:p w:rsidR="002F3A3D" w:rsidRDefault="002F3A3D">
      <w:pPr>
        <w:pStyle w:val="a3"/>
        <w:rPr>
          <w:rFonts w:ascii="Times New Roman" w:eastAsia="Times New Roman" w:hAnsi="Times New Roman" w:cs="Times New Roman"/>
          <w:b/>
          <w:bCs/>
          <w:color w:val="073763"/>
          <w:sz w:val="24"/>
          <w:szCs w:val="24"/>
        </w:rPr>
      </w:pPr>
      <w:bookmarkStart w:id="64" w:name="_mkq9dzdsleuq" w:colFirst="0" w:colLast="0"/>
      <w:bookmarkEnd w:id="64"/>
    </w:p>
    <w:p w:rsidR="002F3A3D" w:rsidRDefault="002F3A3D">
      <w:pPr>
        <w:pStyle w:val="a3"/>
        <w:rPr>
          <w:rFonts w:ascii="Times New Roman" w:eastAsia="Times New Roman" w:hAnsi="Times New Roman" w:cs="Times New Roman"/>
          <w:b/>
          <w:bCs/>
          <w:color w:val="073763"/>
          <w:sz w:val="24"/>
          <w:szCs w:val="24"/>
        </w:rPr>
      </w:pPr>
      <w:bookmarkStart w:id="65" w:name="_kh6jjsdosg3u" w:colFirst="0" w:colLast="0"/>
      <w:bookmarkEnd w:id="65"/>
    </w:p>
    <w:p w:rsidR="002F3A3D" w:rsidRDefault="002F3A3D">
      <w:pPr>
        <w:pStyle w:val="a3"/>
        <w:rPr>
          <w:rFonts w:ascii="Times New Roman" w:eastAsia="Times New Roman" w:hAnsi="Times New Roman" w:cs="Times New Roman"/>
          <w:b/>
          <w:bCs/>
          <w:color w:val="073763"/>
          <w:sz w:val="24"/>
          <w:szCs w:val="24"/>
        </w:rPr>
      </w:pPr>
      <w:bookmarkStart w:id="66" w:name="_x99j8fl4kifj" w:colFirst="0" w:colLast="0"/>
      <w:bookmarkEnd w:id="66"/>
    </w:p>
    <w:p w:rsidR="002F3A3D" w:rsidRDefault="002F3A3D">
      <w:pPr>
        <w:pStyle w:val="a3"/>
        <w:rPr>
          <w:rFonts w:ascii="Times New Roman" w:eastAsia="Times New Roman" w:hAnsi="Times New Roman" w:cs="Times New Roman"/>
          <w:b/>
          <w:bCs/>
          <w:color w:val="073763"/>
          <w:sz w:val="24"/>
          <w:szCs w:val="24"/>
        </w:rPr>
      </w:pPr>
      <w:bookmarkStart w:id="67" w:name="_2dsovyrdz8ku" w:colFirst="0" w:colLast="0"/>
      <w:bookmarkEnd w:id="67"/>
    </w:p>
    <w:p w:rsidR="002F3A3D" w:rsidRDefault="002F3A3D">
      <w:pPr>
        <w:pStyle w:val="a3"/>
        <w:rPr>
          <w:rFonts w:ascii="Times New Roman" w:eastAsia="Times New Roman" w:hAnsi="Times New Roman" w:cs="Times New Roman"/>
          <w:b/>
          <w:bCs/>
          <w:color w:val="073763"/>
          <w:sz w:val="24"/>
          <w:szCs w:val="24"/>
        </w:rPr>
      </w:pPr>
      <w:bookmarkStart w:id="68" w:name="_qaja9fwdrev6" w:colFirst="0" w:colLast="0"/>
      <w:bookmarkEnd w:id="68"/>
    </w:p>
    <w:p w:rsidR="002F3A3D" w:rsidRDefault="002F3A3D"/>
    <w:p w:rsidR="002F3A3D" w:rsidRDefault="002F3A3D"/>
    <w:p w:rsidR="002F3A3D" w:rsidRDefault="002F3A3D"/>
    <w:p w:rsidR="002F3A3D" w:rsidRDefault="002F3A3D">
      <w:pPr>
        <w:pStyle w:val="a3"/>
        <w:rPr>
          <w:rFonts w:ascii="Times New Roman" w:eastAsia="Times New Roman" w:hAnsi="Times New Roman" w:cs="Times New Roman"/>
          <w:b/>
          <w:bCs/>
          <w:color w:val="073763"/>
          <w:sz w:val="24"/>
          <w:szCs w:val="24"/>
        </w:rPr>
      </w:pPr>
      <w:bookmarkStart w:id="69" w:name="_kwtosegdkfpq" w:colFirst="0" w:colLast="0"/>
      <w:bookmarkEnd w:id="69"/>
    </w:p>
    <w:p w:rsidR="002F3A3D" w:rsidRDefault="002F3A3D">
      <w:pPr>
        <w:pStyle w:val="a3"/>
        <w:keepNext w:val="0"/>
        <w:keepLines w:val="0"/>
        <w:widowControl w:val="0"/>
        <w:rPr>
          <w:rFonts w:ascii="Times New Roman" w:eastAsia="Times New Roman" w:hAnsi="Times New Roman" w:cs="Times New Roman"/>
          <w:b/>
          <w:bCs/>
          <w:color w:val="073763"/>
          <w:sz w:val="24"/>
          <w:szCs w:val="24"/>
        </w:rPr>
      </w:pPr>
      <w:bookmarkStart w:id="70" w:name="_rf2arjirvrpt" w:colFirst="0" w:colLast="0"/>
      <w:bookmarkEnd w:id="70"/>
    </w:p>
    <w:p w:rsidR="002F3A3D" w:rsidRDefault="002F3A3D">
      <w:pPr>
        <w:pStyle w:val="a3"/>
        <w:keepNext w:val="0"/>
        <w:keepLines w:val="0"/>
        <w:widowControl w:val="0"/>
        <w:rPr>
          <w:rFonts w:ascii="Times New Roman" w:eastAsia="Times New Roman" w:hAnsi="Times New Roman" w:cs="Times New Roman"/>
          <w:b/>
          <w:bCs/>
          <w:color w:val="073763"/>
          <w:sz w:val="24"/>
          <w:szCs w:val="24"/>
        </w:rPr>
      </w:pPr>
      <w:bookmarkStart w:id="71" w:name="_nrm37q4ngs9f" w:colFirst="0" w:colLast="0"/>
      <w:bookmarkEnd w:id="71"/>
    </w:p>
    <w:p w:rsidR="002F3A3D" w:rsidRDefault="008028DE">
      <w:pPr>
        <w:pStyle w:val="a3"/>
        <w:keepNext w:val="0"/>
        <w:keepLines w:val="0"/>
        <w:widowControl w:val="0"/>
        <w:rPr>
          <w:rFonts w:ascii="Times New Roman" w:eastAsia="Times New Roman" w:hAnsi="Times New Roman" w:cs="Times New Roman"/>
          <w:b/>
          <w:bCs/>
          <w:color w:val="073763"/>
          <w:sz w:val="24"/>
          <w:szCs w:val="24"/>
        </w:rPr>
      </w:pPr>
      <w:bookmarkStart w:id="72" w:name="_ntl60s2lfhi3" w:colFirst="0" w:colLast="0"/>
      <w:bookmarkEnd w:id="72"/>
      <w:r>
        <w:rPr>
          <w:rFonts w:ascii="Times New Roman" w:eastAsia="Times New Roman" w:hAnsi="Times New Roman" w:cs="Times New Roman"/>
          <w:b/>
          <w:bCs/>
          <w:color w:val="073763"/>
          <w:sz w:val="24"/>
          <w:szCs w:val="24"/>
        </w:rPr>
        <w:t>ЗАГАЛЬНІ ВИСНОВКИ ТА РЕКОМЕНДАЦІЇ</w:t>
      </w:r>
    </w:p>
    <w:p w:rsidR="002F3A3D" w:rsidRDefault="002F3A3D"/>
    <w:p w:rsidR="002F3A3D" w:rsidRDefault="008028DE">
      <w:pPr>
        <w:rPr>
          <w:rFonts w:ascii="Times New Roman" w:eastAsia="Times New Roman" w:hAnsi="Times New Roman" w:cs="Times New Roman"/>
          <w:b/>
          <w:bCs/>
        </w:rPr>
      </w:pPr>
      <w:r>
        <w:rPr>
          <w:rFonts w:ascii="Times New Roman" w:eastAsia="Times New Roman" w:hAnsi="Times New Roman" w:cs="Times New Roman"/>
          <w:b/>
          <w:bCs/>
        </w:rPr>
        <w:t>Загальні висновки</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Контекст профорієнтації</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профорієнтації</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Інклюзія та гендерна рівність</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Співпраця з місцевими роботодавцями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Кадровий потенціал</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Ресурсне забезпечення</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Успішні практики</w:t>
      </w:r>
    </w:p>
    <w:p w:rsidR="002F3A3D" w:rsidRDefault="002F3A3D">
      <w:pPr>
        <w:spacing w:line="240" w:lineRule="auto"/>
        <w:jc w:val="both"/>
        <w:rPr>
          <w:rFonts w:ascii="Times New Roman" w:eastAsia="Times New Roman" w:hAnsi="Times New Roman" w:cs="Times New Roman"/>
          <w:sz w:val="24"/>
          <w:szCs w:val="24"/>
        </w:rPr>
      </w:pPr>
    </w:p>
    <w:p w:rsidR="002F3A3D" w:rsidRDefault="008028DE">
      <w:pPr>
        <w:rPr>
          <w:rFonts w:ascii="Times New Roman" w:eastAsia="Times New Roman" w:hAnsi="Times New Roman" w:cs="Times New Roman"/>
          <w:b/>
          <w:bCs/>
        </w:rPr>
      </w:pPr>
      <w:r>
        <w:rPr>
          <w:rFonts w:ascii="Times New Roman" w:eastAsia="Times New Roman" w:hAnsi="Times New Roman" w:cs="Times New Roman"/>
          <w:b/>
          <w:bCs/>
        </w:rPr>
        <w:t>Рекомендації</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Контекст профорієнтації</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Організація профорієнтації</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Інклюзія та гендерна рівність</w:t>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Співпраця з місцевими роботодавцями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Кадровий потенціал</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Ресурсне забезпечення</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F3A3D" w:rsidRDefault="008028DE">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Успішні практики</w:t>
      </w:r>
    </w:p>
    <w:p w:rsidR="002F3A3D" w:rsidRDefault="008028DE">
      <w:pPr>
        <w:spacing w:line="240" w:lineRule="auto"/>
        <w:jc w:val="both"/>
        <w:rPr>
          <w:rFonts w:ascii="Times New Roman" w:eastAsia="Times New Roman" w:hAnsi="Times New Roman" w:cs="Times New Roman"/>
          <w:color w:val="FF00FF"/>
          <w:sz w:val="24"/>
          <w:szCs w:val="24"/>
        </w:rPr>
      </w:pPr>
      <w:r>
        <w:rPr>
          <w:rFonts w:ascii="Times New Roman" w:eastAsia="Times New Roman" w:hAnsi="Times New Roman" w:cs="Times New Roman"/>
          <w:b/>
          <w:bCs/>
          <w:color w:val="FF00FF"/>
          <w:sz w:val="24"/>
          <w:szCs w:val="24"/>
        </w:rPr>
        <w:t xml:space="preserve">Настанови: </w:t>
      </w:r>
      <w:r>
        <w:rPr>
          <w:rFonts w:ascii="Times New Roman" w:eastAsia="Times New Roman" w:hAnsi="Times New Roman" w:cs="Times New Roman"/>
          <w:color w:val="FF00FF"/>
          <w:sz w:val="24"/>
          <w:szCs w:val="24"/>
        </w:rPr>
        <w:t>У загальних висновках та рекомендаціях слід узагальнити ключові результати всіх тематичних блоків, виокремивши спільні тенденції, системні проблеми, сильні сторони та можливості розвитку, а також сформувати чіткі, обґрунтовані та здійсненні рекомендації. Рекомендації мають ґрунтуватися виключно на даних опитування та не містити непідтверджених припущень.</w:t>
      </w:r>
    </w:p>
    <w:p w:rsidR="002F3A3D" w:rsidRDefault="002F3A3D">
      <w:pPr>
        <w:spacing w:line="240" w:lineRule="auto"/>
        <w:jc w:val="both"/>
        <w:rPr>
          <w:rFonts w:ascii="Times New Roman" w:eastAsia="Times New Roman" w:hAnsi="Times New Roman" w:cs="Times New Roman"/>
          <w:color w:val="FF00FF"/>
          <w:sz w:val="24"/>
          <w:szCs w:val="24"/>
        </w:rPr>
      </w:pPr>
    </w:p>
    <w:p w:rsidR="002F3A3D" w:rsidRDefault="002F3A3D"/>
    <w:sectPr w:rsidR="002F3A3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5CA" w:rsidRDefault="00CA65CA">
      <w:pPr>
        <w:spacing w:line="240" w:lineRule="auto"/>
      </w:pPr>
      <w:r>
        <w:separator/>
      </w:r>
    </w:p>
  </w:endnote>
  <w:endnote w:type="continuationSeparator" w:id="0">
    <w:p w:rsidR="00CA65CA" w:rsidRDefault="00CA6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23DC7988-978D-46D5-A322-A499B468AAF1}"/>
  </w:font>
  <w:font w:name="Calibri">
    <w:panose1 w:val="020F0502020204030204"/>
    <w:charset w:val="CC"/>
    <w:family w:val="swiss"/>
    <w:pitch w:val="variable"/>
    <w:sig w:usb0="E4002EFF" w:usb1="C000247B" w:usb2="00000009" w:usb3="00000000" w:csb0="000001FF" w:csb1="00000000"/>
    <w:embedRegular r:id="rId2" w:fontKey="{D9552F3C-6BC7-4E60-99F9-A156ABC2DBC3}"/>
  </w:font>
  <w:font w:name="Cambria">
    <w:panose1 w:val="02040503050406030204"/>
    <w:charset w:val="CC"/>
    <w:family w:val="roman"/>
    <w:pitch w:val="variable"/>
    <w:sig w:usb0="E00006FF" w:usb1="420024FF" w:usb2="02000000" w:usb3="00000000" w:csb0="0000019F" w:csb1="00000000"/>
    <w:embedRegular r:id="rId3" w:fontKey="{F59855C5-981D-4501-851A-97A3A628B83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5CA" w:rsidRDefault="00CA65CA">
      <w:pPr>
        <w:spacing w:line="240" w:lineRule="auto"/>
      </w:pPr>
      <w:r>
        <w:separator/>
      </w:r>
    </w:p>
  </w:footnote>
  <w:footnote w:type="continuationSeparator" w:id="0">
    <w:p w:rsidR="00CA65CA" w:rsidRDefault="00CA65CA">
      <w:pPr>
        <w:spacing w:line="240" w:lineRule="auto"/>
      </w:pPr>
      <w:r>
        <w:continuationSeparator/>
      </w:r>
    </w:p>
  </w:footnote>
  <w:footnote w:id="1">
    <w:p w:rsidR="00BE729C" w:rsidRPr="008453B7" w:rsidRDefault="00BE729C">
      <w:pPr>
        <w:spacing w:line="240" w:lineRule="auto"/>
        <w:rPr>
          <w:rFonts w:ascii="Times New Roman" w:hAnsi="Times New Roman" w:cs="Times New Roman"/>
          <w:color w:val="0000FF"/>
          <w:sz w:val="18"/>
          <w:szCs w:val="18"/>
        </w:rPr>
      </w:pPr>
      <w:r w:rsidRPr="008453B7">
        <w:rPr>
          <w:rFonts w:ascii="Times New Roman" w:hAnsi="Times New Roman" w:cs="Times New Roman"/>
          <w:sz w:val="18"/>
          <w:szCs w:val="18"/>
          <w:vertAlign w:val="superscript"/>
        </w:rPr>
        <w:footnoteRef/>
      </w:r>
      <w:r w:rsidRPr="008453B7">
        <w:rPr>
          <w:rFonts w:ascii="Times New Roman" w:hAnsi="Times New Roman" w:cs="Times New Roman"/>
          <w:sz w:val="18"/>
          <w:szCs w:val="18"/>
        </w:rPr>
        <w:t xml:space="preserve"> Інформація подана на основі даних, розміщених на офіційному сайті </w:t>
      </w:r>
      <w:r w:rsidRPr="008453B7">
        <w:rPr>
          <w:rFonts w:ascii="Times New Roman" w:hAnsi="Times New Roman" w:cs="Times New Roman"/>
          <w:sz w:val="18"/>
          <w:szCs w:val="18"/>
          <w:lang w:val="uk-UA"/>
        </w:rPr>
        <w:t xml:space="preserve">Донецької селищної </w:t>
      </w:r>
      <w:r w:rsidRPr="008453B7">
        <w:rPr>
          <w:rFonts w:ascii="Times New Roman" w:hAnsi="Times New Roman" w:cs="Times New Roman"/>
          <w:sz w:val="18"/>
          <w:szCs w:val="18"/>
        </w:rPr>
        <w:t xml:space="preserve"> територіальної громади. URL: </w:t>
      </w:r>
      <w:r w:rsidRPr="008453B7">
        <w:rPr>
          <w:rFonts w:ascii="Times New Roman" w:hAnsi="Times New Roman" w:cs="Times New Roman"/>
          <w:color w:val="0000FF"/>
          <w:sz w:val="18"/>
          <w:szCs w:val="18"/>
        </w:rPr>
        <w:t>https://donetska-gromada.gov.ua/</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79D"/>
    <w:multiLevelType w:val="multilevel"/>
    <w:tmpl w:val="24ECB7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BE32F03"/>
    <w:multiLevelType w:val="multilevel"/>
    <w:tmpl w:val="897E33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5765AB"/>
    <w:multiLevelType w:val="multilevel"/>
    <w:tmpl w:val="4F468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0483B"/>
    <w:multiLevelType w:val="multilevel"/>
    <w:tmpl w:val="8B468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0A3B87"/>
    <w:multiLevelType w:val="multilevel"/>
    <w:tmpl w:val="C2AE3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635C85"/>
    <w:multiLevelType w:val="multilevel"/>
    <w:tmpl w:val="5148A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8F294F"/>
    <w:multiLevelType w:val="multilevel"/>
    <w:tmpl w:val="EF52B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BB0E99"/>
    <w:multiLevelType w:val="multilevel"/>
    <w:tmpl w:val="5C384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371E64"/>
    <w:multiLevelType w:val="multilevel"/>
    <w:tmpl w:val="13DC5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D95AFF"/>
    <w:multiLevelType w:val="multilevel"/>
    <w:tmpl w:val="74F2E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681DAC"/>
    <w:multiLevelType w:val="multilevel"/>
    <w:tmpl w:val="03983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C2232A"/>
    <w:multiLevelType w:val="multilevel"/>
    <w:tmpl w:val="552CF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4A6E78"/>
    <w:multiLevelType w:val="multilevel"/>
    <w:tmpl w:val="83829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C054A4"/>
    <w:multiLevelType w:val="multilevel"/>
    <w:tmpl w:val="C890B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6E33A70"/>
    <w:multiLevelType w:val="multilevel"/>
    <w:tmpl w:val="46860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F21E05"/>
    <w:multiLevelType w:val="hybridMultilevel"/>
    <w:tmpl w:val="BF1E8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9B2048"/>
    <w:multiLevelType w:val="multilevel"/>
    <w:tmpl w:val="250CA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F4067BF"/>
    <w:multiLevelType w:val="multilevel"/>
    <w:tmpl w:val="8A08E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0B4150D"/>
    <w:multiLevelType w:val="multilevel"/>
    <w:tmpl w:val="88F24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FA3437"/>
    <w:multiLevelType w:val="multilevel"/>
    <w:tmpl w:val="E50217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C75213A"/>
    <w:multiLevelType w:val="multilevel"/>
    <w:tmpl w:val="C8587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6172519"/>
    <w:multiLevelType w:val="multilevel"/>
    <w:tmpl w:val="C9205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B87D4C"/>
    <w:multiLevelType w:val="multilevel"/>
    <w:tmpl w:val="1AA6D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5B3A31"/>
    <w:multiLevelType w:val="multilevel"/>
    <w:tmpl w:val="6F8E3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2"/>
  </w:num>
  <w:num w:numId="3">
    <w:abstractNumId w:val="12"/>
  </w:num>
  <w:num w:numId="4">
    <w:abstractNumId w:val="16"/>
  </w:num>
  <w:num w:numId="5">
    <w:abstractNumId w:val="9"/>
  </w:num>
  <w:num w:numId="6">
    <w:abstractNumId w:val="20"/>
  </w:num>
  <w:num w:numId="7">
    <w:abstractNumId w:val="5"/>
  </w:num>
  <w:num w:numId="8">
    <w:abstractNumId w:val="21"/>
  </w:num>
  <w:num w:numId="9">
    <w:abstractNumId w:val="6"/>
  </w:num>
  <w:num w:numId="10">
    <w:abstractNumId w:val="17"/>
  </w:num>
  <w:num w:numId="11">
    <w:abstractNumId w:val="0"/>
  </w:num>
  <w:num w:numId="12">
    <w:abstractNumId w:val="14"/>
  </w:num>
  <w:num w:numId="13">
    <w:abstractNumId w:val="1"/>
  </w:num>
  <w:num w:numId="14">
    <w:abstractNumId w:val="8"/>
  </w:num>
  <w:num w:numId="15">
    <w:abstractNumId w:val="7"/>
  </w:num>
  <w:num w:numId="16">
    <w:abstractNumId w:val="13"/>
  </w:num>
  <w:num w:numId="17">
    <w:abstractNumId w:val="10"/>
  </w:num>
  <w:num w:numId="18">
    <w:abstractNumId w:val="22"/>
  </w:num>
  <w:num w:numId="19">
    <w:abstractNumId w:val="18"/>
  </w:num>
  <w:num w:numId="20">
    <w:abstractNumId w:val="4"/>
  </w:num>
  <w:num w:numId="21">
    <w:abstractNumId w:val="19"/>
  </w:num>
  <w:num w:numId="22">
    <w:abstractNumId w:val="11"/>
  </w:num>
  <w:num w:numId="23">
    <w:abstractNumId w:val="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F3A3D"/>
    <w:rsid w:val="00094701"/>
    <w:rsid w:val="00097C71"/>
    <w:rsid w:val="000C29F4"/>
    <w:rsid w:val="000C5E02"/>
    <w:rsid w:val="000E6BC8"/>
    <w:rsid w:val="000F571E"/>
    <w:rsid w:val="001027B4"/>
    <w:rsid w:val="001C0DBF"/>
    <w:rsid w:val="001D009A"/>
    <w:rsid w:val="001D5429"/>
    <w:rsid w:val="00231CB0"/>
    <w:rsid w:val="0023292D"/>
    <w:rsid w:val="002D39F0"/>
    <w:rsid w:val="002E060E"/>
    <w:rsid w:val="002F3A3D"/>
    <w:rsid w:val="002F7942"/>
    <w:rsid w:val="00307724"/>
    <w:rsid w:val="0034148B"/>
    <w:rsid w:val="003420D9"/>
    <w:rsid w:val="003C7279"/>
    <w:rsid w:val="00400BE9"/>
    <w:rsid w:val="004211DA"/>
    <w:rsid w:val="00483C34"/>
    <w:rsid w:val="004B1E20"/>
    <w:rsid w:val="004D2248"/>
    <w:rsid w:val="004F4643"/>
    <w:rsid w:val="00550E83"/>
    <w:rsid w:val="005544DA"/>
    <w:rsid w:val="005D30A1"/>
    <w:rsid w:val="005F768E"/>
    <w:rsid w:val="006612F0"/>
    <w:rsid w:val="00663E57"/>
    <w:rsid w:val="00743943"/>
    <w:rsid w:val="00747101"/>
    <w:rsid w:val="007619DB"/>
    <w:rsid w:val="0079154C"/>
    <w:rsid w:val="00797DA9"/>
    <w:rsid w:val="008028DE"/>
    <w:rsid w:val="00803FD0"/>
    <w:rsid w:val="008123AF"/>
    <w:rsid w:val="00814A2E"/>
    <w:rsid w:val="008453B7"/>
    <w:rsid w:val="009117AC"/>
    <w:rsid w:val="0092750D"/>
    <w:rsid w:val="00962377"/>
    <w:rsid w:val="00A22ADA"/>
    <w:rsid w:val="00A70576"/>
    <w:rsid w:val="00A77F4A"/>
    <w:rsid w:val="00B4488C"/>
    <w:rsid w:val="00B51010"/>
    <w:rsid w:val="00B67875"/>
    <w:rsid w:val="00B85D9A"/>
    <w:rsid w:val="00BC05C6"/>
    <w:rsid w:val="00BE729C"/>
    <w:rsid w:val="00C37BA4"/>
    <w:rsid w:val="00C57845"/>
    <w:rsid w:val="00CA287C"/>
    <w:rsid w:val="00CA65CA"/>
    <w:rsid w:val="00CE62DD"/>
    <w:rsid w:val="00D44382"/>
    <w:rsid w:val="00E8535B"/>
    <w:rsid w:val="00EF1887"/>
    <w:rsid w:val="00F05764"/>
    <w:rsid w:val="00F83CD7"/>
    <w:rsid w:val="00FE6A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EA60C"/>
  <w15:docId w15:val="{A2F4D4E9-F0A0-4F74-9A1F-DB72C08BB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paragraph" w:styleId="afff">
    <w:name w:val="Balloon Text"/>
    <w:basedOn w:val="a"/>
    <w:link w:val="afff0"/>
    <w:uiPriority w:val="99"/>
    <w:semiHidden/>
    <w:unhideWhenUsed/>
    <w:rsid w:val="001C0DBF"/>
    <w:pPr>
      <w:spacing w:line="240" w:lineRule="auto"/>
    </w:pPr>
    <w:rPr>
      <w:rFonts w:ascii="Tahoma" w:hAnsi="Tahoma" w:cs="Tahoma"/>
      <w:sz w:val="16"/>
      <w:szCs w:val="16"/>
    </w:rPr>
  </w:style>
  <w:style w:type="character" w:customStyle="1" w:styleId="afff0">
    <w:name w:val="Текст выноски Знак"/>
    <w:basedOn w:val="a0"/>
    <w:link w:val="afff"/>
    <w:uiPriority w:val="99"/>
    <w:semiHidden/>
    <w:rsid w:val="001C0DBF"/>
    <w:rPr>
      <w:rFonts w:ascii="Tahoma" w:hAnsi="Tahoma" w:cs="Tahoma"/>
      <w:sz w:val="16"/>
      <w:szCs w:val="16"/>
    </w:rPr>
  </w:style>
  <w:style w:type="paragraph" w:styleId="afff1">
    <w:name w:val="List Paragraph"/>
    <w:basedOn w:val="a"/>
    <w:uiPriority w:val="34"/>
    <w:qFormat/>
    <w:rsid w:val="00663E57"/>
    <w:pPr>
      <w:ind w:left="720"/>
      <w:contextualSpacing/>
    </w:pPr>
  </w:style>
  <w:style w:type="paragraph" w:styleId="afff2">
    <w:name w:val="Normal (Web)"/>
    <w:basedOn w:val="a"/>
    <w:uiPriority w:val="99"/>
    <w:semiHidden/>
    <w:unhideWhenUsed/>
    <w:rsid w:val="009117A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136043">
      <w:bodyDiv w:val="1"/>
      <w:marLeft w:val="0"/>
      <w:marRight w:val="0"/>
      <w:marTop w:val="0"/>
      <w:marBottom w:val="0"/>
      <w:divBdr>
        <w:top w:val="none" w:sz="0" w:space="0" w:color="auto"/>
        <w:left w:val="none" w:sz="0" w:space="0" w:color="auto"/>
        <w:bottom w:val="none" w:sz="0" w:space="0" w:color="auto"/>
        <w:right w:val="none" w:sz="0" w:space="0" w:color="auto"/>
      </w:divBdr>
    </w:div>
    <w:div w:id="453402114">
      <w:bodyDiv w:val="1"/>
      <w:marLeft w:val="0"/>
      <w:marRight w:val="0"/>
      <w:marTop w:val="0"/>
      <w:marBottom w:val="0"/>
      <w:divBdr>
        <w:top w:val="none" w:sz="0" w:space="0" w:color="auto"/>
        <w:left w:val="none" w:sz="0" w:space="0" w:color="auto"/>
        <w:bottom w:val="none" w:sz="0" w:space="0" w:color="auto"/>
        <w:right w:val="none" w:sz="0" w:space="0" w:color="auto"/>
      </w:divBdr>
    </w:div>
    <w:div w:id="1126117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414</TotalTime>
  <Pages>66</Pages>
  <Words>18136</Words>
  <Characters>103381</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П'ятигірський ліцей</Company>
  <LinksUpToDate>false</LinksUpToDate>
  <CharactersWithSpaces>121275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58</cp:revision>
  <dcterms:created xsi:type="dcterms:W3CDTF">2025-12-16T18:56:00Z</dcterms:created>
  <dcterms:modified xsi:type="dcterms:W3CDTF">2025-12-19T13:35:00Z</dcterms:modified>
</cp:coreProperties>
</file>